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254"/>
        <w:gridCol w:w="6746"/>
      </w:tblGrid>
      <w:tr w:rsidR="00BF5D04" w14:paraId="2EE4B10B" w14:textId="77777777">
        <w:tblPrEx>
          <w:tblCellMar>
            <w:top w:w="0" w:type="dxa"/>
            <w:bottom w:w="0" w:type="dxa"/>
          </w:tblCellMar>
        </w:tblPrEx>
        <w:trPr>
          <w:tblCellSpacing w:w="60" w:type="dxa"/>
        </w:trPr>
        <w:tc>
          <w:tcPr>
            <w:tcW w:w="1200" w:type="pct"/>
            <w:shd w:val="clear" w:color="auto" w:fill="E7F0F9"/>
          </w:tcPr>
          <w:p w14:paraId="272B7D63" w14:textId="77777777" w:rsidR="00BF5D04" w:rsidRDefault="00000000">
            <w:pPr>
              <w:spacing w:after="0" w:line="240" w:lineRule="auto"/>
            </w:pPr>
            <w:r>
              <w:rPr>
                <w:b/>
              </w:rPr>
              <w:t>RKP broj</w:t>
            </w:r>
          </w:p>
        </w:tc>
        <w:tc>
          <w:tcPr>
            <w:tcW w:w="0" w:type="auto"/>
            <w:shd w:val="clear" w:color="auto" w:fill="E7F0F9"/>
          </w:tcPr>
          <w:p w14:paraId="4A7613DC" w14:textId="77777777" w:rsidR="00BF5D04" w:rsidRDefault="00000000">
            <w:pPr>
              <w:spacing w:after="0" w:line="240" w:lineRule="auto"/>
            </w:pPr>
            <w:r>
              <w:t>25843</w:t>
            </w:r>
          </w:p>
        </w:tc>
      </w:tr>
      <w:tr w:rsidR="00BF5D04" w14:paraId="0A01EA87" w14:textId="77777777">
        <w:tblPrEx>
          <w:tblCellMar>
            <w:top w:w="0" w:type="dxa"/>
            <w:bottom w:w="0" w:type="dxa"/>
          </w:tblCellMar>
        </w:tblPrEx>
        <w:trPr>
          <w:tblCellSpacing w:w="60" w:type="dxa"/>
        </w:trPr>
        <w:tc>
          <w:tcPr>
            <w:tcW w:w="1200" w:type="pct"/>
            <w:shd w:val="clear" w:color="auto" w:fill="E7F0F9"/>
          </w:tcPr>
          <w:p w14:paraId="1668CFD6" w14:textId="77777777" w:rsidR="00BF5D04" w:rsidRDefault="00000000">
            <w:pPr>
              <w:spacing w:after="0" w:line="240" w:lineRule="auto"/>
            </w:pPr>
            <w:r>
              <w:rPr>
                <w:b/>
              </w:rPr>
              <w:t>Naziv obveznika</w:t>
            </w:r>
          </w:p>
        </w:tc>
        <w:tc>
          <w:tcPr>
            <w:tcW w:w="0" w:type="auto"/>
            <w:shd w:val="clear" w:color="auto" w:fill="E7F0F9"/>
          </w:tcPr>
          <w:p w14:paraId="4DF9FA3E" w14:textId="77777777" w:rsidR="00BF5D04" w:rsidRDefault="00000000">
            <w:pPr>
              <w:spacing w:after="0" w:line="240" w:lineRule="auto"/>
            </w:pPr>
            <w:r>
              <w:t>HRVATSKI ZAVOD ZA ZAPOŠLJAVANJE</w:t>
            </w:r>
          </w:p>
        </w:tc>
      </w:tr>
      <w:tr w:rsidR="00BF5D04" w14:paraId="723D3360" w14:textId="77777777">
        <w:tblPrEx>
          <w:tblCellMar>
            <w:top w:w="0" w:type="dxa"/>
            <w:bottom w:w="0" w:type="dxa"/>
          </w:tblCellMar>
        </w:tblPrEx>
        <w:trPr>
          <w:tblCellSpacing w:w="60" w:type="dxa"/>
        </w:trPr>
        <w:tc>
          <w:tcPr>
            <w:tcW w:w="1200" w:type="pct"/>
            <w:shd w:val="clear" w:color="auto" w:fill="E7F0F9"/>
          </w:tcPr>
          <w:p w14:paraId="068EF3E5" w14:textId="77777777" w:rsidR="00BF5D04" w:rsidRDefault="00000000">
            <w:pPr>
              <w:spacing w:after="0" w:line="240" w:lineRule="auto"/>
            </w:pPr>
            <w:r>
              <w:rPr>
                <w:b/>
              </w:rPr>
              <w:t>Razina</w:t>
            </w:r>
          </w:p>
        </w:tc>
        <w:tc>
          <w:tcPr>
            <w:tcW w:w="0" w:type="auto"/>
            <w:shd w:val="clear" w:color="auto" w:fill="E7F0F9"/>
          </w:tcPr>
          <w:p w14:paraId="352F4A2B" w14:textId="77777777" w:rsidR="00BF5D04" w:rsidRDefault="00000000">
            <w:pPr>
              <w:spacing w:after="0" w:line="240" w:lineRule="auto"/>
            </w:pPr>
            <w:r>
              <w:t>41</w:t>
            </w:r>
          </w:p>
        </w:tc>
      </w:tr>
    </w:tbl>
    <w:p w14:paraId="30E8EF53" w14:textId="77777777" w:rsidR="00BF5D04" w:rsidRDefault="00000000">
      <w:r>
        <w:br/>
      </w:r>
    </w:p>
    <w:p w14:paraId="733209F5" w14:textId="77777777" w:rsidR="00BF5D04" w:rsidRDefault="00000000">
      <w:pPr>
        <w:spacing w:line="240" w:lineRule="auto"/>
        <w:jc w:val="center"/>
      </w:pPr>
      <w:r>
        <w:rPr>
          <w:b/>
          <w:sz w:val="28"/>
        </w:rPr>
        <w:t>BILJEŠKE UZ FINANCIJSKE IZVJEŠTAJE</w:t>
      </w:r>
    </w:p>
    <w:p w14:paraId="61B4EECB" w14:textId="77777777" w:rsidR="00BF5D04" w:rsidRDefault="00000000">
      <w:pPr>
        <w:spacing w:line="240" w:lineRule="auto"/>
        <w:jc w:val="center"/>
      </w:pPr>
      <w:r>
        <w:rPr>
          <w:b/>
          <w:sz w:val="28"/>
        </w:rPr>
        <w:t>ZA RAZDOBLJE</w:t>
      </w:r>
    </w:p>
    <w:p w14:paraId="7539C612" w14:textId="77777777" w:rsidR="00BF5D04" w:rsidRDefault="00000000">
      <w:pPr>
        <w:spacing w:line="240" w:lineRule="auto"/>
        <w:jc w:val="center"/>
      </w:pPr>
      <w:r>
        <w:rPr>
          <w:b/>
          <w:sz w:val="28"/>
        </w:rPr>
        <w:t>I - XII 2025.</w:t>
      </w:r>
    </w:p>
    <w:p w14:paraId="4470A90F" w14:textId="77777777" w:rsidR="00BF5D04" w:rsidRDefault="00BF5D04"/>
    <w:p w14:paraId="31127C7E" w14:textId="77777777" w:rsidR="00BF5D04" w:rsidRDefault="00000000">
      <w:pPr>
        <w:keepNext/>
        <w:spacing w:line="240" w:lineRule="auto"/>
        <w:jc w:val="center"/>
      </w:pPr>
      <w:r>
        <w:rPr>
          <w:b/>
          <w:sz w:val="28"/>
        </w:rPr>
        <w:t>Izvještaj o prihodima i rashodima, primicima i izdacima</w:t>
      </w:r>
    </w:p>
    <w:p w14:paraId="2D3EB1A9" w14:textId="77777777" w:rsidR="00BF5D04"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F5D04" w14:paraId="7D8B660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9326999" w14:textId="77777777" w:rsidR="00BF5D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E09FE2D" w14:textId="77777777" w:rsidR="00BF5D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068FE41" w14:textId="77777777" w:rsidR="00BF5D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6EEF1D5" w14:textId="77777777" w:rsidR="00BF5D0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7C059A4" w14:textId="77777777" w:rsidR="00BF5D0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93B9336" w14:textId="77777777" w:rsidR="00BF5D04" w:rsidRDefault="00000000">
            <w:pPr>
              <w:keepNext/>
              <w:keepLines/>
              <w:spacing w:after="0" w:line="240" w:lineRule="auto"/>
              <w:jc w:val="center"/>
            </w:pPr>
            <w:r>
              <w:rPr>
                <w:b/>
                <w:sz w:val="18"/>
              </w:rPr>
              <w:t>Indeks (%)</w:t>
            </w:r>
          </w:p>
        </w:tc>
      </w:tr>
      <w:tr w:rsidR="00BF5D04" w14:paraId="78A61010" w14:textId="77777777">
        <w:tblPrEx>
          <w:tblCellMar>
            <w:top w:w="0" w:type="dxa"/>
            <w:bottom w:w="0" w:type="dxa"/>
          </w:tblCellMar>
        </w:tblPrEx>
        <w:trPr>
          <w:cantSplit/>
          <w:trHeight w:val="560"/>
        </w:trPr>
        <w:tc>
          <w:tcPr>
            <w:tcW w:w="700" w:type="dxa"/>
            <w:tcMar>
              <w:top w:w="0" w:type="dxa"/>
              <w:bottom w:w="0" w:type="dxa"/>
            </w:tcMar>
            <w:vAlign w:val="center"/>
          </w:tcPr>
          <w:p w14:paraId="67D59AC4" w14:textId="77777777" w:rsidR="00BF5D04" w:rsidRDefault="00000000">
            <w:pPr>
              <w:keepNext/>
              <w:keepLines/>
              <w:spacing w:after="0" w:line="240" w:lineRule="auto"/>
            </w:pPr>
            <w:r>
              <w:rPr>
                <w:sz w:val="18"/>
              </w:rPr>
              <w:t>6</w:t>
            </w:r>
          </w:p>
        </w:tc>
        <w:tc>
          <w:tcPr>
            <w:tcW w:w="3180" w:type="dxa"/>
            <w:tcMar>
              <w:top w:w="0" w:type="dxa"/>
              <w:bottom w:w="0" w:type="dxa"/>
            </w:tcMar>
            <w:vAlign w:val="center"/>
          </w:tcPr>
          <w:p w14:paraId="089F4007" w14:textId="77777777" w:rsidR="00BF5D04"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6067F274" w14:textId="77777777" w:rsidR="00BF5D04" w:rsidRDefault="00000000">
            <w:pPr>
              <w:keepNext/>
              <w:keepLines/>
              <w:spacing w:after="0" w:line="240" w:lineRule="auto"/>
            </w:pPr>
            <w:r>
              <w:rPr>
                <w:sz w:val="18"/>
              </w:rPr>
              <w:t>6</w:t>
            </w:r>
          </w:p>
        </w:tc>
        <w:tc>
          <w:tcPr>
            <w:tcW w:w="1860" w:type="dxa"/>
            <w:tcMar>
              <w:top w:w="0" w:type="dxa"/>
              <w:bottom w:w="0" w:type="dxa"/>
            </w:tcMar>
            <w:vAlign w:val="center"/>
          </w:tcPr>
          <w:p w14:paraId="0ECD48E6" w14:textId="77777777" w:rsidR="00BF5D04" w:rsidRDefault="00000000">
            <w:pPr>
              <w:keepNext/>
              <w:keepLines/>
              <w:spacing w:after="0" w:line="240" w:lineRule="auto"/>
              <w:jc w:val="right"/>
            </w:pPr>
            <w:r>
              <w:rPr>
                <w:sz w:val="18"/>
              </w:rPr>
              <w:t>360.996.142,74</w:t>
            </w:r>
          </w:p>
        </w:tc>
        <w:tc>
          <w:tcPr>
            <w:tcW w:w="1860" w:type="dxa"/>
            <w:tcMar>
              <w:top w:w="0" w:type="dxa"/>
              <w:bottom w:w="0" w:type="dxa"/>
            </w:tcMar>
            <w:vAlign w:val="center"/>
          </w:tcPr>
          <w:p w14:paraId="74726396" w14:textId="77777777" w:rsidR="00BF5D04" w:rsidRDefault="00000000">
            <w:pPr>
              <w:keepNext/>
              <w:keepLines/>
              <w:spacing w:after="0" w:line="240" w:lineRule="auto"/>
              <w:jc w:val="right"/>
            </w:pPr>
            <w:r>
              <w:rPr>
                <w:sz w:val="18"/>
              </w:rPr>
              <w:t>385.872.145,71</w:t>
            </w:r>
          </w:p>
        </w:tc>
        <w:tc>
          <w:tcPr>
            <w:tcW w:w="700" w:type="dxa"/>
            <w:tcMar>
              <w:top w:w="0" w:type="dxa"/>
              <w:bottom w:w="0" w:type="dxa"/>
            </w:tcMar>
            <w:vAlign w:val="center"/>
          </w:tcPr>
          <w:p w14:paraId="63636EFF" w14:textId="77777777" w:rsidR="00BF5D04" w:rsidRDefault="00000000">
            <w:pPr>
              <w:keepNext/>
              <w:keepLines/>
              <w:spacing w:after="0" w:line="240" w:lineRule="auto"/>
              <w:jc w:val="right"/>
            </w:pPr>
            <w:r>
              <w:rPr>
                <w:sz w:val="18"/>
              </w:rPr>
              <w:t>106,9</w:t>
            </w:r>
          </w:p>
        </w:tc>
      </w:tr>
      <w:tr w:rsidR="00BF5D04" w14:paraId="61C9F7CA" w14:textId="77777777">
        <w:tblPrEx>
          <w:tblCellMar>
            <w:top w:w="0" w:type="dxa"/>
            <w:bottom w:w="0" w:type="dxa"/>
          </w:tblCellMar>
        </w:tblPrEx>
        <w:trPr>
          <w:cantSplit/>
          <w:trHeight w:val="560"/>
        </w:trPr>
        <w:tc>
          <w:tcPr>
            <w:tcW w:w="700" w:type="dxa"/>
            <w:tcMar>
              <w:top w:w="0" w:type="dxa"/>
              <w:bottom w:w="0" w:type="dxa"/>
            </w:tcMar>
            <w:vAlign w:val="center"/>
          </w:tcPr>
          <w:p w14:paraId="15C33771" w14:textId="77777777" w:rsidR="00BF5D04" w:rsidRDefault="00000000">
            <w:pPr>
              <w:keepNext/>
              <w:keepLines/>
              <w:spacing w:after="0" w:line="240" w:lineRule="auto"/>
            </w:pPr>
            <w:r>
              <w:rPr>
                <w:sz w:val="18"/>
              </w:rPr>
              <w:t>3</w:t>
            </w:r>
          </w:p>
        </w:tc>
        <w:tc>
          <w:tcPr>
            <w:tcW w:w="3180" w:type="dxa"/>
            <w:tcMar>
              <w:top w:w="0" w:type="dxa"/>
              <w:bottom w:w="0" w:type="dxa"/>
            </w:tcMar>
            <w:vAlign w:val="center"/>
          </w:tcPr>
          <w:p w14:paraId="7D32A6D0" w14:textId="77777777" w:rsidR="00BF5D04"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1B3685AE" w14:textId="77777777" w:rsidR="00BF5D04" w:rsidRDefault="00000000">
            <w:pPr>
              <w:keepNext/>
              <w:keepLines/>
              <w:spacing w:after="0" w:line="240" w:lineRule="auto"/>
            </w:pPr>
            <w:r>
              <w:rPr>
                <w:sz w:val="18"/>
              </w:rPr>
              <w:t>3</w:t>
            </w:r>
          </w:p>
        </w:tc>
        <w:tc>
          <w:tcPr>
            <w:tcW w:w="1860" w:type="dxa"/>
            <w:tcMar>
              <w:top w:w="0" w:type="dxa"/>
              <w:bottom w:w="0" w:type="dxa"/>
            </w:tcMar>
            <w:vAlign w:val="center"/>
          </w:tcPr>
          <w:p w14:paraId="15B33177" w14:textId="77777777" w:rsidR="00BF5D04" w:rsidRDefault="00000000">
            <w:pPr>
              <w:keepNext/>
              <w:keepLines/>
              <w:spacing w:after="0" w:line="240" w:lineRule="auto"/>
              <w:jc w:val="right"/>
            </w:pPr>
            <w:r>
              <w:rPr>
                <w:sz w:val="18"/>
              </w:rPr>
              <w:t>358.646.035,45</w:t>
            </w:r>
          </w:p>
        </w:tc>
        <w:tc>
          <w:tcPr>
            <w:tcW w:w="1860" w:type="dxa"/>
            <w:tcMar>
              <w:top w:w="0" w:type="dxa"/>
              <w:bottom w:w="0" w:type="dxa"/>
            </w:tcMar>
            <w:vAlign w:val="center"/>
          </w:tcPr>
          <w:p w14:paraId="167D6020" w14:textId="77777777" w:rsidR="00BF5D04" w:rsidRDefault="00000000">
            <w:pPr>
              <w:keepNext/>
              <w:keepLines/>
              <w:spacing w:after="0" w:line="240" w:lineRule="auto"/>
              <w:jc w:val="right"/>
            </w:pPr>
            <w:r>
              <w:rPr>
                <w:sz w:val="18"/>
              </w:rPr>
              <w:t>409.880.782,39</w:t>
            </w:r>
          </w:p>
        </w:tc>
        <w:tc>
          <w:tcPr>
            <w:tcW w:w="700" w:type="dxa"/>
            <w:tcMar>
              <w:top w:w="0" w:type="dxa"/>
              <w:bottom w:w="0" w:type="dxa"/>
            </w:tcMar>
            <w:vAlign w:val="center"/>
          </w:tcPr>
          <w:p w14:paraId="62DD6073" w14:textId="77777777" w:rsidR="00BF5D04" w:rsidRDefault="00000000">
            <w:pPr>
              <w:keepNext/>
              <w:keepLines/>
              <w:spacing w:after="0" w:line="240" w:lineRule="auto"/>
              <w:jc w:val="right"/>
            </w:pPr>
            <w:r>
              <w:rPr>
                <w:sz w:val="18"/>
              </w:rPr>
              <w:t>114,3</w:t>
            </w:r>
          </w:p>
        </w:tc>
      </w:tr>
      <w:tr w:rsidR="00BF5D04" w14:paraId="5013AC49" w14:textId="77777777">
        <w:tblPrEx>
          <w:tblCellMar>
            <w:top w:w="0" w:type="dxa"/>
            <w:bottom w:w="0" w:type="dxa"/>
          </w:tblCellMar>
        </w:tblPrEx>
        <w:trPr>
          <w:cantSplit/>
          <w:trHeight w:val="560"/>
        </w:trPr>
        <w:tc>
          <w:tcPr>
            <w:tcW w:w="700" w:type="dxa"/>
            <w:tcMar>
              <w:top w:w="0" w:type="dxa"/>
              <w:bottom w:w="0" w:type="dxa"/>
            </w:tcMar>
            <w:vAlign w:val="center"/>
          </w:tcPr>
          <w:p w14:paraId="1C33DC53" w14:textId="77777777" w:rsidR="00BF5D04" w:rsidRDefault="00BF5D04">
            <w:pPr>
              <w:keepNext/>
              <w:keepLines/>
              <w:spacing w:after="0" w:line="240" w:lineRule="auto"/>
            </w:pPr>
          </w:p>
        </w:tc>
        <w:tc>
          <w:tcPr>
            <w:tcW w:w="3180" w:type="dxa"/>
            <w:tcMar>
              <w:top w:w="0" w:type="dxa"/>
              <w:bottom w:w="0" w:type="dxa"/>
            </w:tcMar>
            <w:vAlign w:val="center"/>
          </w:tcPr>
          <w:p w14:paraId="0C980AC3" w14:textId="77777777" w:rsidR="00BF5D04" w:rsidRDefault="00000000">
            <w:pPr>
              <w:keepNext/>
              <w:keepLines/>
              <w:spacing w:after="0" w:line="240" w:lineRule="auto"/>
            </w:pPr>
            <w:r>
              <w:rPr>
                <w:b/>
                <w:sz w:val="18"/>
              </w:rPr>
              <w:t>MANJAK PRIHODA POSLOVANJA (šifre Z005-6)</w:t>
            </w:r>
          </w:p>
        </w:tc>
        <w:tc>
          <w:tcPr>
            <w:tcW w:w="700" w:type="dxa"/>
            <w:tcMar>
              <w:top w:w="0" w:type="dxa"/>
              <w:bottom w:w="0" w:type="dxa"/>
            </w:tcMar>
            <w:vAlign w:val="center"/>
          </w:tcPr>
          <w:p w14:paraId="3FE18D91" w14:textId="77777777" w:rsidR="00BF5D04" w:rsidRDefault="00000000">
            <w:pPr>
              <w:keepNext/>
              <w:keepLines/>
              <w:spacing w:after="0" w:line="240" w:lineRule="auto"/>
            </w:pPr>
            <w:r>
              <w:rPr>
                <w:b/>
                <w:sz w:val="18"/>
              </w:rPr>
              <w:t>Y001</w:t>
            </w:r>
          </w:p>
        </w:tc>
        <w:tc>
          <w:tcPr>
            <w:tcW w:w="1860" w:type="dxa"/>
            <w:tcMar>
              <w:top w:w="0" w:type="dxa"/>
              <w:bottom w:w="0" w:type="dxa"/>
            </w:tcMar>
            <w:vAlign w:val="center"/>
          </w:tcPr>
          <w:p w14:paraId="4B00CC64" w14:textId="77777777" w:rsidR="00BF5D04" w:rsidRDefault="00000000">
            <w:pPr>
              <w:keepNext/>
              <w:keepLines/>
              <w:spacing w:after="0" w:line="240" w:lineRule="auto"/>
              <w:jc w:val="right"/>
            </w:pPr>
            <w:r>
              <w:rPr>
                <w:b/>
                <w:sz w:val="18"/>
              </w:rPr>
              <w:t>0,00</w:t>
            </w:r>
          </w:p>
        </w:tc>
        <w:tc>
          <w:tcPr>
            <w:tcW w:w="1860" w:type="dxa"/>
            <w:tcMar>
              <w:top w:w="0" w:type="dxa"/>
              <w:bottom w:w="0" w:type="dxa"/>
            </w:tcMar>
            <w:vAlign w:val="center"/>
          </w:tcPr>
          <w:p w14:paraId="78ADF490" w14:textId="77777777" w:rsidR="00BF5D04" w:rsidRDefault="00000000">
            <w:pPr>
              <w:keepNext/>
              <w:keepLines/>
              <w:spacing w:after="0" w:line="240" w:lineRule="auto"/>
              <w:jc w:val="right"/>
            </w:pPr>
            <w:r>
              <w:rPr>
                <w:b/>
                <w:sz w:val="18"/>
              </w:rPr>
              <w:t>24.008.636,68</w:t>
            </w:r>
          </w:p>
        </w:tc>
        <w:tc>
          <w:tcPr>
            <w:tcW w:w="700" w:type="dxa"/>
            <w:tcMar>
              <w:top w:w="0" w:type="dxa"/>
              <w:bottom w:w="0" w:type="dxa"/>
            </w:tcMar>
            <w:vAlign w:val="center"/>
          </w:tcPr>
          <w:p w14:paraId="448C2928" w14:textId="77777777" w:rsidR="00BF5D04" w:rsidRDefault="00000000">
            <w:pPr>
              <w:keepNext/>
              <w:keepLines/>
              <w:spacing w:after="0" w:line="240" w:lineRule="auto"/>
              <w:jc w:val="right"/>
            </w:pPr>
            <w:r>
              <w:rPr>
                <w:b/>
                <w:sz w:val="18"/>
              </w:rPr>
              <w:t>-</w:t>
            </w:r>
          </w:p>
        </w:tc>
      </w:tr>
      <w:tr w:rsidR="00BF5D04" w14:paraId="7DCF6E9E" w14:textId="77777777">
        <w:tblPrEx>
          <w:tblCellMar>
            <w:top w:w="0" w:type="dxa"/>
            <w:bottom w:w="0" w:type="dxa"/>
          </w:tblCellMar>
        </w:tblPrEx>
        <w:trPr>
          <w:cantSplit/>
          <w:trHeight w:val="560"/>
        </w:trPr>
        <w:tc>
          <w:tcPr>
            <w:tcW w:w="700" w:type="dxa"/>
            <w:tcMar>
              <w:top w:w="0" w:type="dxa"/>
              <w:bottom w:w="0" w:type="dxa"/>
            </w:tcMar>
            <w:vAlign w:val="center"/>
          </w:tcPr>
          <w:p w14:paraId="1DC554AC" w14:textId="77777777" w:rsidR="00BF5D04" w:rsidRDefault="00000000">
            <w:pPr>
              <w:keepNext/>
              <w:keepLines/>
              <w:spacing w:after="0" w:line="240" w:lineRule="auto"/>
            </w:pPr>
            <w:r>
              <w:rPr>
                <w:sz w:val="18"/>
              </w:rPr>
              <w:t>7</w:t>
            </w:r>
          </w:p>
        </w:tc>
        <w:tc>
          <w:tcPr>
            <w:tcW w:w="3180" w:type="dxa"/>
            <w:tcMar>
              <w:top w:w="0" w:type="dxa"/>
              <w:bottom w:w="0" w:type="dxa"/>
            </w:tcMar>
            <w:vAlign w:val="center"/>
          </w:tcPr>
          <w:p w14:paraId="364E1065" w14:textId="77777777" w:rsidR="00BF5D04"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6BD7B839" w14:textId="77777777" w:rsidR="00BF5D04" w:rsidRDefault="00000000">
            <w:pPr>
              <w:keepNext/>
              <w:keepLines/>
              <w:spacing w:after="0" w:line="240" w:lineRule="auto"/>
            </w:pPr>
            <w:r>
              <w:rPr>
                <w:sz w:val="18"/>
              </w:rPr>
              <w:t>7</w:t>
            </w:r>
          </w:p>
        </w:tc>
        <w:tc>
          <w:tcPr>
            <w:tcW w:w="1860" w:type="dxa"/>
            <w:tcMar>
              <w:top w:w="0" w:type="dxa"/>
              <w:bottom w:w="0" w:type="dxa"/>
            </w:tcMar>
            <w:vAlign w:val="center"/>
          </w:tcPr>
          <w:p w14:paraId="4DC35220" w14:textId="77777777" w:rsidR="00BF5D04" w:rsidRDefault="00000000">
            <w:pPr>
              <w:keepNext/>
              <w:keepLines/>
              <w:spacing w:after="0" w:line="240" w:lineRule="auto"/>
              <w:jc w:val="right"/>
            </w:pPr>
            <w:r>
              <w:rPr>
                <w:sz w:val="18"/>
              </w:rPr>
              <w:t>0,00</w:t>
            </w:r>
          </w:p>
        </w:tc>
        <w:tc>
          <w:tcPr>
            <w:tcW w:w="1860" w:type="dxa"/>
            <w:tcMar>
              <w:top w:w="0" w:type="dxa"/>
              <w:bottom w:w="0" w:type="dxa"/>
            </w:tcMar>
            <w:vAlign w:val="center"/>
          </w:tcPr>
          <w:p w14:paraId="5932735C" w14:textId="77777777" w:rsidR="00BF5D04" w:rsidRDefault="00000000">
            <w:pPr>
              <w:keepNext/>
              <w:keepLines/>
              <w:spacing w:after="0" w:line="240" w:lineRule="auto"/>
              <w:jc w:val="right"/>
            </w:pPr>
            <w:r>
              <w:rPr>
                <w:sz w:val="18"/>
              </w:rPr>
              <w:t>0,00</w:t>
            </w:r>
          </w:p>
        </w:tc>
        <w:tc>
          <w:tcPr>
            <w:tcW w:w="700" w:type="dxa"/>
            <w:tcMar>
              <w:top w:w="0" w:type="dxa"/>
              <w:bottom w:w="0" w:type="dxa"/>
            </w:tcMar>
            <w:vAlign w:val="center"/>
          </w:tcPr>
          <w:p w14:paraId="7F80732C" w14:textId="77777777" w:rsidR="00BF5D04" w:rsidRDefault="00000000">
            <w:pPr>
              <w:keepNext/>
              <w:keepLines/>
              <w:spacing w:after="0" w:line="240" w:lineRule="auto"/>
              <w:jc w:val="right"/>
            </w:pPr>
            <w:r>
              <w:rPr>
                <w:sz w:val="18"/>
              </w:rPr>
              <w:t>-</w:t>
            </w:r>
          </w:p>
        </w:tc>
      </w:tr>
      <w:tr w:rsidR="00BF5D04" w14:paraId="1C6AF591" w14:textId="77777777">
        <w:tblPrEx>
          <w:tblCellMar>
            <w:top w:w="0" w:type="dxa"/>
            <w:bottom w:w="0" w:type="dxa"/>
          </w:tblCellMar>
        </w:tblPrEx>
        <w:trPr>
          <w:cantSplit/>
          <w:trHeight w:val="560"/>
        </w:trPr>
        <w:tc>
          <w:tcPr>
            <w:tcW w:w="700" w:type="dxa"/>
            <w:tcMar>
              <w:top w:w="0" w:type="dxa"/>
              <w:bottom w:w="0" w:type="dxa"/>
            </w:tcMar>
            <w:vAlign w:val="center"/>
          </w:tcPr>
          <w:p w14:paraId="19D3AB8C" w14:textId="77777777" w:rsidR="00BF5D04" w:rsidRDefault="00000000">
            <w:pPr>
              <w:keepNext/>
              <w:keepLines/>
              <w:spacing w:after="0" w:line="240" w:lineRule="auto"/>
            </w:pPr>
            <w:r>
              <w:rPr>
                <w:sz w:val="18"/>
              </w:rPr>
              <w:t>4</w:t>
            </w:r>
          </w:p>
        </w:tc>
        <w:tc>
          <w:tcPr>
            <w:tcW w:w="3180" w:type="dxa"/>
            <w:tcMar>
              <w:top w:w="0" w:type="dxa"/>
              <w:bottom w:w="0" w:type="dxa"/>
            </w:tcMar>
            <w:vAlign w:val="center"/>
          </w:tcPr>
          <w:p w14:paraId="6868CEFB" w14:textId="77777777" w:rsidR="00BF5D04"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17D96B12" w14:textId="77777777" w:rsidR="00BF5D04" w:rsidRDefault="00000000">
            <w:pPr>
              <w:keepNext/>
              <w:keepLines/>
              <w:spacing w:after="0" w:line="240" w:lineRule="auto"/>
            </w:pPr>
            <w:r>
              <w:rPr>
                <w:sz w:val="18"/>
              </w:rPr>
              <w:t>4</w:t>
            </w:r>
          </w:p>
        </w:tc>
        <w:tc>
          <w:tcPr>
            <w:tcW w:w="1860" w:type="dxa"/>
            <w:tcMar>
              <w:top w:w="0" w:type="dxa"/>
              <w:bottom w:w="0" w:type="dxa"/>
            </w:tcMar>
            <w:vAlign w:val="center"/>
          </w:tcPr>
          <w:p w14:paraId="0AED5CFF" w14:textId="77777777" w:rsidR="00BF5D04" w:rsidRDefault="00000000">
            <w:pPr>
              <w:keepNext/>
              <w:keepLines/>
              <w:spacing w:after="0" w:line="240" w:lineRule="auto"/>
              <w:jc w:val="right"/>
            </w:pPr>
            <w:r>
              <w:rPr>
                <w:sz w:val="18"/>
              </w:rPr>
              <w:t>2.492.040,48</w:t>
            </w:r>
          </w:p>
        </w:tc>
        <w:tc>
          <w:tcPr>
            <w:tcW w:w="1860" w:type="dxa"/>
            <w:tcMar>
              <w:top w:w="0" w:type="dxa"/>
              <w:bottom w:w="0" w:type="dxa"/>
            </w:tcMar>
            <w:vAlign w:val="center"/>
          </w:tcPr>
          <w:p w14:paraId="4F1552BD" w14:textId="77777777" w:rsidR="00BF5D04" w:rsidRDefault="00000000">
            <w:pPr>
              <w:keepNext/>
              <w:keepLines/>
              <w:spacing w:after="0" w:line="240" w:lineRule="auto"/>
              <w:jc w:val="right"/>
            </w:pPr>
            <w:r>
              <w:rPr>
                <w:sz w:val="18"/>
              </w:rPr>
              <w:t>777.411,33</w:t>
            </w:r>
          </w:p>
        </w:tc>
        <w:tc>
          <w:tcPr>
            <w:tcW w:w="700" w:type="dxa"/>
            <w:tcMar>
              <w:top w:w="0" w:type="dxa"/>
              <w:bottom w:w="0" w:type="dxa"/>
            </w:tcMar>
            <w:vAlign w:val="center"/>
          </w:tcPr>
          <w:p w14:paraId="00140E08" w14:textId="77777777" w:rsidR="00BF5D04" w:rsidRDefault="00000000">
            <w:pPr>
              <w:keepNext/>
              <w:keepLines/>
              <w:spacing w:after="0" w:line="240" w:lineRule="auto"/>
              <w:jc w:val="right"/>
            </w:pPr>
            <w:r>
              <w:rPr>
                <w:sz w:val="18"/>
              </w:rPr>
              <w:t>31,2</w:t>
            </w:r>
          </w:p>
        </w:tc>
      </w:tr>
      <w:tr w:rsidR="00BF5D04" w14:paraId="3C470C32" w14:textId="77777777">
        <w:tblPrEx>
          <w:tblCellMar>
            <w:top w:w="0" w:type="dxa"/>
            <w:bottom w:w="0" w:type="dxa"/>
          </w:tblCellMar>
        </w:tblPrEx>
        <w:trPr>
          <w:cantSplit/>
          <w:trHeight w:val="560"/>
        </w:trPr>
        <w:tc>
          <w:tcPr>
            <w:tcW w:w="700" w:type="dxa"/>
            <w:tcMar>
              <w:top w:w="0" w:type="dxa"/>
              <w:bottom w:w="0" w:type="dxa"/>
            </w:tcMar>
            <w:vAlign w:val="center"/>
          </w:tcPr>
          <w:p w14:paraId="4E5B790B" w14:textId="77777777" w:rsidR="00BF5D04" w:rsidRDefault="00BF5D04">
            <w:pPr>
              <w:keepNext/>
              <w:keepLines/>
              <w:spacing w:after="0" w:line="240" w:lineRule="auto"/>
            </w:pPr>
          </w:p>
        </w:tc>
        <w:tc>
          <w:tcPr>
            <w:tcW w:w="3180" w:type="dxa"/>
            <w:tcMar>
              <w:top w:w="0" w:type="dxa"/>
              <w:bottom w:w="0" w:type="dxa"/>
            </w:tcMar>
            <w:vAlign w:val="center"/>
          </w:tcPr>
          <w:p w14:paraId="263F7968" w14:textId="77777777" w:rsidR="00BF5D04"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6C215F86" w14:textId="77777777" w:rsidR="00BF5D04" w:rsidRDefault="00000000">
            <w:pPr>
              <w:keepNext/>
              <w:keepLines/>
              <w:spacing w:after="0" w:line="240" w:lineRule="auto"/>
            </w:pPr>
            <w:r>
              <w:rPr>
                <w:b/>
                <w:sz w:val="18"/>
              </w:rPr>
              <w:t>Y002</w:t>
            </w:r>
          </w:p>
        </w:tc>
        <w:tc>
          <w:tcPr>
            <w:tcW w:w="1860" w:type="dxa"/>
            <w:tcMar>
              <w:top w:w="0" w:type="dxa"/>
              <w:bottom w:w="0" w:type="dxa"/>
            </w:tcMar>
            <w:vAlign w:val="center"/>
          </w:tcPr>
          <w:p w14:paraId="575A823A" w14:textId="77777777" w:rsidR="00BF5D04" w:rsidRDefault="00000000">
            <w:pPr>
              <w:keepNext/>
              <w:keepLines/>
              <w:spacing w:after="0" w:line="240" w:lineRule="auto"/>
              <w:jc w:val="right"/>
            </w:pPr>
            <w:r>
              <w:rPr>
                <w:b/>
                <w:sz w:val="18"/>
              </w:rPr>
              <w:t>2.492.040,48</w:t>
            </w:r>
          </w:p>
        </w:tc>
        <w:tc>
          <w:tcPr>
            <w:tcW w:w="1860" w:type="dxa"/>
            <w:tcMar>
              <w:top w:w="0" w:type="dxa"/>
              <w:bottom w:w="0" w:type="dxa"/>
            </w:tcMar>
            <w:vAlign w:val="center"/>
          </w:tcPr>
          <w:p w14:paraId="4642D04C" w14:textId="77777777" w:rsidR="00BF5D04" w:rsidRDefault="00000000">
            <w:pPr>
              <w:keepNext/>
              <w:keepLines/>
              <w:spacing w:after="0" w:line="240" w:lineRule="auto"/>
              <w:jc w:val="right"/>
            </w:pPr>
            <w:r>
              <w:rPr>
                <w:b/>
                <w:sz w:val="18"/>
              </w:rPr>
              <w:t>777.411,33</w:t>
            </w:r>
          </w:p>
        </w:tc>
        <w:tc>
          <w:tcPr>
            <w:tcW w:w="700" w:type="dxa"/>
            <w:tcMar>
              <w:top w:w="0" w:type="dxa"/>
              <w:bottom w:w="0" w:type="dxa"/>
            </w:tcMar>
            <w:vAlign w:val="center"/>
          </w:tcPr>
          <w:p w14:paraId="0C3DDCAA" w14:textId="77777777" w:rsidR="00BF5D04" w:rsidRDefault="00000000">
            <w:pPr>
              <w:keepNext/>
              <w:keepLines/>
              <w:spacing w:after="0" w:line="240" w:lineRule="auto"/>
              <w:jc w:val="right"/>
            </w:pPr>
            <w:r>
              <w:rPr>
                <w:b/>
                <w:sz w:val="18"/>
              </w:rPr>
              <w:t>31,2</w:t>
            </w:r>
          </w:p>
        </w:tc>
      </w:tr>
      <w:tr w:rsidR="00BF5D04" w14:paraId="602DA499" w14:textId="77777777">
        <w:tblPrEx>
          <w:tblCellMar>
            <w:top w:w="0" w:type="dxa"/>
            <w:bottom w:w="0" w:type="dxa"/>
          </w:tblCellMar>
        </w:tblPrEx>
        <w:trPr>
          <w:cantSplit/>
          <w:trHeight w:val="560"/>
        </w:trPr>
        <w:tc>
          <w:tcPr>
            <w:tcW w:w="700" w:type="dxa"/>
            <w:tcMar>
              <w:top w:w="0" w:type="dxa"/>
              <w:bottom w:w="0" w:type="dxa"/>
            </w:tcMar>
            <w:vAlign w:val="center"/>
          </w:tcPr>
          <w:p w14:paraId="0CABBAFA" w14:textId="77777777" w:rsidR="00BF5D04" w:rsidRDefault="00000000">
            <w:pPr>
              <w:keepNext/>
              <w:keepLines/>
              <w:spacing w:after="0" w:line="240" w:lineRule="auto"/>
            </w:pPr>
            <w:r>
              <w:rPr>
                <w:sz w:val="18"/>
              </w:rPr>
              <w:t>8</w:t>
            </w:r>
          </w:p>
        </w:tc>
        <w:tc>
          <w:tcPr>
            <w:tcW w:w="3180" w:type="dxa"/>
            <w:tcMar>
              <w:top w:w="0" w:type="dxa"/>
              <w:bottom w:w="0" w:type="dxa"/>
            </w:tcMar>
            <w:vAlign w:val="center"/>
          </w:tcPr>
          <w:p w14:paraId="3330B002" w14:textId="77777777" w:rsidR="00BF5D04"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6DDD167D" w14:textId="77777777" w:rsidR="00BF5D04" w:rsidRDefault="00000000">
            <w:pPr>
              <w:keepNext/>
              <w:keepLines/>
              <w:spacing w:after="0" w:line="240" w:lineRule="auto"/>
            </w:pPr>
            <w:r>
              <w:rPr>
                <w:sz w:val="18"/>
              </w:rPr>
              <w:t>8</w:t>
            </w:r>
          </w:p>
        </w:tc>
        <w:tc>
          <w:tcPr>
            <w:tcW w:w="1860" w:type="dxa"/>
            <w:tcMar>
              <w:top w:w="0" w:type="dxa"/>
              <w:bottom w:w="0" w:type="dxa"/>
            </w:tcMar>
            <w:vAlign w:val="center"/>
          </w:tcPr>
          <w:p w14:paraId="55B4AA7A" w14:textId="77777777" w:rsidR="00BF5D04" w:rsidRDefault="00000000">
            <w:pPr>
              <w:keepNext/>
              <w:keepLines/>
              <w:spacing w:after="0" w:line="240" w:lineRule="auto"/>
              <w:jc w:val="right"/>
            </w:pPr>
            <w:r>
              <w:rPr>
                <w:sz w:val="18"/>
              </w:rPr>
              <w:t>0,00</w:t>
            </w:r>
          </w:p>
        </w:tc>
        <w:tc>
          <w:tcPr>
            <w:tcW w:w="1860" w:type="dxa"/>
            <w:tcMar>
              <w:top w:w="0" w:type="dxa"/>
              <w:bottom w:w="0" w:type="dxa"/>
            </w:tcMar>
            <w:vAlign w:val="center"/>
          </w:tcPr>
          <w:p w14:paraId="0EFCE7E9" w14:textId="77777777" w:rsidR="00BF5D04" w:rsidRDefault="00000000">
            <w:pPr>
              <w:keepNext/>
              <w:keepLines/>
              <w:spacing w:after="0" w:line="240" w:lineRule="auto"/>
              <w:jc w:val="right"/>
            </w:pPr>
            <w:r>
              <w:rPr>
                <w:sz w:val="18"/>
              </w:rPr>
              <w:t>0,00</w:t>
            </w:r>
          </w:p>
        </w:tc>
        <w:tc>
          <w:tcPr>
            <w:tcW w:w="700" w:type="dxa"/>
            <w:tcMar>
              <w:top w:w="0" w:type="dxa"/>
              <w:bottom w:w="0" w:type="dxa"/>
            </w:tcMar>
            <w:vAlign w:val="center"/>
          </w:tcPr>
          <w:p w14:paraId="1759841A" w14:textId="77777777" w:rsidR="00BF5D04" w:rsidRDefault="00000000">
            <w:pPr>
              <w:keepNext/>
              <w:keepLines/>
              <w:spacing w:after="0" w:line="240" w:lineRule="auto"/>
              <w:jc w:val="right"/>
            </w:pPr>
            <w:r>
              <w:rPr>
                <w:sz w:val="18"/>
              </w:rPr>
              <w:t>-</w:t>
            </w:r>
          </w:p>
        </w:tc>
      </w:tr>
      <w:tr w:rsidR="00BF5D04" w14:paraId="3583048B" w14:textId="77777777">
        <w:tblPrEx>
          <w:tblCellMar>
            <w:top w:w="0" w:type="dxa"/>
            <w:bottom w:w="0" w:type="dxa"/>
          </w:tblCellMar>
        </w:tblPrEx>
        <w:trPr>
          <w:cantSplit/>
          <w:trHeight w:val="560"/>
        </w:trPr>
        <w:tc>
          <w:tcPr>
            <w:tcW w:w="700" w:type="dxa"/>
            <w:tcMar>
              <w:top w:w="0" w:type="dxa"/>
              <w:bottom w:w="0" w:type="dxa"/>
            </w:tcMar>
            <w:vAlign w:val="center"/>
          </w:tcPr>
          <w:p w14:paraId="5210628A" w14:textId="77777777" w:rsidR="00BF5D04" w:rsidRDefault="00000000">
            <w:pPr>
              <w:keepNext/>
              <w:keepLines/>
              <w:spacing w:after="0" w:line="240" w:lineRule="auto"/>
            </w:pPr>
            <w:r>
              <w:rPr>
                <w:sz w:val="18"/>
              </w:rPr>
              <w:t>5</w:t>
            </w:r>
          </w:p>
        </w:tc>
        <w:tc>
          <w:tcPr>
            <w:tcW w:w="3180" w:type="dxa"/>
            <w:tcMar>
              <w:top w:w="0" w:type="dxa"/>
              <w:bottom w:w="0" w:type="dxa"/>
            </w:tcMar>
            <w:vAlign w:val="center"/>
          </w:tcPr>
          <w:p w14:paraId="59A1239E" w14:textId="77777777" w:rsidR="00BF5D04"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15E05C49" w14:textId="77777777" w:rsidR="00BF5D04" w:rsidRDefault="00000000">
            <w:pPr>
              <w:keepNext/>
              <w:keepLines/>
              <w:spacing w:after="0" w:line="240" w:lineRule="auto"/>
            </w:pPr>
            <w:r>
              <w:rPr>
                <w:sz w:val="18"/>
              </w:rPr>
              <w:t>5</w:t>
            </w:r>
          </w:p>
        </w:tc>
        <w:tc>
          <w:tcPr>
            <w:tcW w:w="1860" w:type="dxa"/>
            <w:tcMar>
              <w:top w:w="0" w:type="dxa"/>
              <w:bottom w:w="0" w:type="dxa"/>
            </w:tcMar>
            <w:vAlign w:val="center"/>
          </w:tcPr>
          <w:p w14:paraId="5B4127F9" w14:textId="77777777" w:rsidR="00BF5D04" w:rsidRDefault="00000000">
            <w:pPr>
              <w:keepNext/>
              <w:keepLines/>
              <w:spacing w:after="0" w:line="240" w:lineRule="auto"/>
              <w:jc w:val="right"/>
            </w:pPr>
            <w:r>
              <w:rPr>
                <w:sz w:val="18"/>
              </w:rPr>
              <w:t>0,00</w:t>
            </w:r>
          </w:p>
        </w:tc>
        <w:tc>
          <w:tcPr>
            <w:tcW w:w="1860" w:type="dxa"/>
            <w:tcMar>
              <w:top w:w="0" w:type="dxa"/>
              <w:bottom w:w="0" w:type="dxa"/>
            </w:tcMar>
            <w:vAlign w:val="center"/>
          </w:tcPr>
          <w:p w14:paraId="6DA751EC" w14:textId="77777777" w:rsidR="00BF5D04" w:rsidRDefault="00000000">
            <w:pPr>
              <w:keepNext/>
              <w:keepLines/>
              <w:spacing w:after="0" w:line="240" w:lineRule="auto"/>
              <w:jc w:val="right"/>
            </w:pPr>
            <w:r>
              <w:rPr>
                <w:sz w:val="18"/>
              </w:rPr>
              <w:t>0,00</w:t>
            </w:r>
          </w:p>
        </w:tc>
        <w:tc>
          <w:tcPr>
            <w:tcW w:w="700" w:type="dxa"/>
            <w:tcMar>
              <w:top w:w="0" w:type="dxa"/>
              <w:bottom w:w="0" w:type="dxa"/>
            </w:tcMar>
            <w:vAlign w:val="center"/>
          </w:tcPr>
          <w:p w14:paraId="46FEBC1A" w14:textId="77777777" w:rsidR="00BF5D04" w:rsidRDefault="00000000">
            <w:pPr>
              <w:keepNext/>
              <w:keepLines/>
              <w:spacing w:after="0" w:line="240" w:lineRule="auto"/>
              <w:jc w:val="right"/>
            </w:pPr>
            <w:r>
              <w:rPr>
                <w:sz w:val="18"/>
              </w:rPr>
              <w:t>-</w:t>
            </w:r>
          </w:p>
        </w:tc>
      </w:tr>
      <w:tr w:rsidR="00BF5D04" w14:paraId="26C9ADB0" w14:textId="77777777">
        <w:tblPrEx>
          <w:tblCellMar>
            <w:top w:w="0" w:type="dxa"/>
            <w:bottom w:w="0" w:type="dxa"/>
          </w:tblCellMar>
        </w:tblPrEx>
        <w:trPr>
          <w:cantSplit/>
          <w:trHeight w:val="560"/>
        </w:trPr>
        <w:tc>
          <w:tcPr>
            <w:tcW w:w="700" w:type="dxa"/>
            <w:tcMar>
              <w:top w:w="0" w:type="dxa"/>
              <w:bottom w:w="0" w:type="dxa"/>
            </w:tcMar>
            <w:vAlign w:val="center"/>
          </w:tcPr>
          <w:p w14:paraId="7E520CD4" w14:textId="77777777" w:rsidR="00BF5D04" w:rsidRDefault="00BF5D04">
            <w:pPr>
              <w:keepNext/>
              <w:keepLines/>
              <w:spacing w:after="0" w:line="240" w:lineRule="auto"/>
            </w:pPr>
          </w:p>
        </w:tc>
        <w:tc>
          <w:tcPr>
            <w:tcW w:w="3180" w:type="dxa"/>
            <w:tcMar>
              <w:top w:w="0" w:type="dxa"/>
              <w:bottom w:w="0" w:type="dxa"/>
            </w:tcMar>
            <w:vAlign w:val="center"/>
          </w:tcPr>
          <w:p w14:paraId="2CC31408" w14:textId="77777777" w:rsidR="00BF5D04" w:rsidRDefault="00000000">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52E449DA" w14:textId="77777777" w:rsidR="00BF5D04" w:rsidRDefault="00000000">
            <w:pPr>
              <w:keepNext/>
              <w:keepLines/>
              <w:spacing w:after="0" w:line="240" w:lineRule="auto"/>
            </w:pPr>
            <w:r>
              <w:rPr>
                <w:b/>
                <w:sz w:val="18"/>
              </w:rPr>
              <w:t>X003, Y003</w:t>
            </w:r>
          </w:p>
        </w:tc>
        <w:tc>
          <w:tcPr>
            <w:tcW w:w="1860" w:type="dxa"/>
            <w:tcMar>
              <w:top w:w="0" w:type="dxa"/>
              <w:bottom w:w="0" w:type="dxa"/>
            </w:tcMar>
            <w:vAlign w:val="center"/>
          </w:tcPr>
          <w:p w14:paraId="1AF20CF6" w14:textId="77777777" w:rsidR="00BF5D04" w:rsidRDefault="00000000">
            <w:pPr>
              <w:keepNext/>
              <w:keepLines/>
              <w:spacing w:after="0" w:line="240" w:lineRule="auto"/>
              <w:jc w:val="right"/>
            </w:pPr>
            <w:r>
              <w:rPr>
                <w:b/>
                <w:sz w:val="18"/>
              </w:rPr>
              <w:t>0,00</w:t>
            </w:r>
          </w:p>
        </w:tc>
        <w:tc>
          <w:tcPr>
            <w:tcW w:w="1860" w:type="dxa"/>
            <w:tcMar>
              <w:top w:w="0" w:type="dxa"/>
              <w:bottom w:w="0" w:type="dxa"/>
            </w:tcMar>
            <w:vAlign w:val="center"/>
          </w:tcPr>
          <w:p w14:paraId="52E7E7E6" w14:textId="77777777" w:rsidR="00BF5D04" w:rsidRDefault="00000000">
            <w:pPr>
              <w:keepNext/>
              <w:keepLines/>
              <w:spacing w:after="0" w:line="240" w:lineRule="auto"/>
              <w:jc w:val="right"/>
            </w:pPr>
            <w:r>
              <w:rPr>
                <w:b/>
                <w:sz w:val="18"/>
              </w:rPr>
              <w:t>0,00</w:t>
            </w:r>
          </w:p>
        </w:tc>
        <w:tc>
          <w:tcPr>
            <w:tcW w:w="700" w:type="dxa"/>
            <w:tcMar>
              <w:top w:w="0" w:type="dxa"/>
              <w:bottom w:w="0" w:type="dxa"/>
            </w:tcMar>
            <w:vAlign w:val="center"/>
          </w:tcPr>
          <w:p w14:paraId="25B834AE" w14:textId="77777777" w:rsidR="00BF5D04" w:rsidRDefault="00000000">
            <w:pPr>
              <w:keepNext/>
              <w:keepLines/>
              <w:spacing w:after="0" w:line="240" w:lineRule="auto"/>
              <w:jc w:val="right"/>
            </w:pPr>
            <w:r>
              <w:rPr>
                <w:b/>
                <w:sz w:val="18"/>
              </w:rPr>
              <w:t>-</w:t>
            </w:r>
          </w:p>
        </w:tc>
      </w:tr>
      <w:tr w:rsidR="00BF5D04" w14:paraId="069A82C5" w14:textId="77777777">
        <w:tblPrEx>
          <w:tblCellMar>
            <w:top w:w="0" w:type="dxa"/>
            <w:bottom w:w="0" w:type="dxa"/>
          </w:tblCellMar>
        </w:tblPrEx>
        <w:trPr>
          <w:cantSplit/>
          <w:trHeight w:val="560"/>
        </w:trPr>
        <w:tc>
          <w:tcPr>
            <w:tcW w:w="700" w:type="dxa"/>
            <w:tcMar>
              <w:top w:w="0" w:type="dxa"/>
              <w:bottom w:w="0" w:type="dxa"/>
            </w:tcMar>
            <w:vAlign w:val="center"/>
          </w:tcPr>
          <w:p w14:paraId="2218EE70" w14:textId="77777777" w:rsidR="00BF5D04" w:rsidRDefault="00BF5D04">
            <w:pPr>
              <w:keepNext/>
              <w:keepLines/>
              <w:spacing w:after="0" w:line="240" w:lineRule="auto"/>
            </w:pPr>
          </w:p>
        </w:tc>
        <w:tc>
          <w:tcPr>
            <w:tcW w:w="3180" w:type="dxa"/>
            <w:tcMar>
              <w:top w:w="0" w:type="dxa"/>
              <w:bottom w:w="0" w:type="dxa"/>
            </w:tcMar>
            <w:vAlign w:val="center"/>
          </w:tcPr>
          <w:p w14:paraId="31800CB0" w14:textId="77777777" w:rsidR="00BF5D04" w:rsidRDefault="00000000">
            <w:pPr>
              <w:keepNext/>
              <w:keepLines/>
              <w:spacing w:after="0" w:line="240" w:lineRule="auto"/>
            </w:pPr>
            <w:r>
              <w:rPr>
                <w:b/>
                <w:sz w:val="18"/>
              </w:rPr>
              <w:t>MANJAK PRIHODA I PRIMITAKA (šifre Y345-X678)</w:t>
            </w:r>
          </w:p>
        </w:tc>
        <w:tc>
          <w:tcPr>
            <w:tcW w:w="700" w:type="dxa"/>
            <w:tcMar>
              <w:top w:w="0" w:type="dxa"/>
              <w:bottom w:w="0" w:type="dxa"/>
            </w:tcMar>
            <w:vAlign w:val="center"/>
          </w:tcPr>
          <w:p w14:paraId="18739927" w14:textId="77777777" w:rsidR="00BF5D04" w:rsidRDefault="00000000">
            <w:pPr>
              <w:keepNext/>
              <w:keepLines/>
              <w:spacing w:after="0" w:line="240" w:lineRule="auto"/>
            </w:pPr>
            <w:r>
              <w:rPr>
                <w:b/>
                <w:sz w:val="18"/>
              </w:rPr>
              <w:t>Y005</w:t>
            </w:r>
          </w:p>
        </w:tc>
        <w:tc>
          <w:tcPr>
            <w:tcW w:w="1860" w:type="dxa"/>
            <w:tcMar>
              <w:top w:w="0" w:type="dxa"/>
              <w:bottom w:w="0" w:type="dxa"/>
            </w:tcMar>
            <w:vAlign w:val="center"/>
          </w:tcPr>
          <w:p w14:paraId="25C71F26" w14:textId="77777777" w:rsidR="00BF5D04" w:rsidRDefault="00000000">
            <w:pPr>
              <w:keepNext/>
              <w:keepLines/>
              <w:spacing w:after="0" w:line="240" w:lineRule="auto"/>
              <w:jc w:val="right"/>
            </w:pPr>
            <w:r>
              <w:rPr>
                <w:b/>
                <w:sz w:val="18"/>
              </w:rPr>
              <w:t>141.933,19</w:t>
            </w:r>
          </w:p>
        </w:tc>
        <w:tc>
          <w:tcPr>
            <w:tcW w:w="1860" w:type="dxa"/>
            <w:tcMar>
              <w:top w:w="0" w:type="dxa"/>
              <w:bottom w:w="0" w:type="dxa"/>
            </w:tcMar>
            <w:vAlign w:val="center"/>
          </w:tcPr>
          <w:p w14:paraId="6302AE33" w14:textId="77777777" w:rsidR="00BF5D04" w:rsidRDefault="00000000">
            <w:pPr>
              <w:keepNext/>
              <w:keepLines/>
              <w:spacing w:after="0" w:line="240" w:lineRule="auto"/>
              <w:jc w:val="right"/>
            </w:pPr>
            <w:r>
              <w:rPr>
                <w:b/>
                <w:sz w:val="18"/>
              </w:rPr>
              <w:t>24.786.048,01</w:t>
            </w:r>
          </w:p>
        </w:tc>
        <w:tc>
          <w:tcPr>
            <w:tcW w:w="700" w:type="dxa"/>
            <w:tcMar>
              <w:top w:w="0" w:type="dxa"/>
              <w:bottom w:w="0" w:type="dxa"/>
            </w:tcMar>
            <w:vAlign w:val="center"/>
          </w:tcPr>
          <w:p w14:paraId="78E1B99C" w14:textId="77777777" w:rsidR="00BF5D04" w:rsidRDefault="00000000">
            <w:pPr>
              <w:keepNext/>
              <w:keepLines/>
              <w:spacing w:after="0" w:line="240" w:lineRule="auto"/>
              <w:jc w:val="right"/>
            </w:pPr>
            <w:r>
              <w:rPr>
                <w:b/>
                <w:sz w:val="18"/>
              </w:rPr>
              <w:t>&gt;&gt;100</w:t>
            </w:r>
          </w:p>
        </w:tc>
      </w:tr>
    </w:tbl>
    <w:p w14:paraId="70978506" w14:textId="77777777" w:rsidR="00BF5D04" w:rsidRDefault="00BF5D04">
      <w:pPr>
        <w:spacing w:after="0"/>
      </w:pPr>
    </w:p>
    <w:p w14:paraId="7FD71FA0" w14:textId="77777777" w:rsidR="00BF5D04" w:rsidRDefault="00000000">
      <w:r>
        <w:t>Hrvatski zavod za zapošljavanje ostvario je ukupne prihode u iznosu 385.872.145,71 eura i to iz sljedećih izvora financiranja:</w:t>
      </w:r>
    </w:p>
    <w:p w14:paraId="7AE5456B" w14:textId="77777777" w:rsidR="00BF5D04" w:rsidRDefault="00000000">
      <w:pPr>
        <w:pStyle w:val="ListParagraph"/>
        <w:numPr>
          <w:ilvl w:val="0"/>
          <w:numId w:val="1"/>
        </w:numPr>
      </w:pPr>
      <w:r>
        <w:t>11 - 235.324.908,38 eura</w:t>
      </w:r>
    </w:p>
    <w:p w14:paraId="48A5034C" w14:textId="77777777" w:rsidR="00BF5D04" w:rsidRDefault="00000000">
      <w:pPr>
        <w:pStyle w:val="ListParagraph"/>
        <w:numPr>
          <w:ilvl w:val="0"/>
          <w:numId w:val="1"/>
        </w:numPr>
      </w:pPr>
      <w:r>
        <w:t>561 - 104.592.269,25 eura</w:t>
      </w:r>
    </w:p>
    <w:p w14:paraId="7D7C43F6" w14:textId="77777777" w:rsidR="00BF5D04" w:rsidRDefault="00000000">
      <w:pPr>
        <w:pStyle w:val="ListParagraph"/>
        <w:numPr>
          <w:ilvl w:val="0"/>
          <w:numId w:val="1"/>
        </w:numPr>
      </w:pPr>
      <w:r>
        <w:t>12 - 19.151.976,56 eura</w:t>
      </w:r>
    </w:p>
    <w:p w14:paraId="23482DE7" w14:textId="77777777" w:rsidR="00BF5D04" w:rsidRDefault="00000000">
      <w:pPr>
        <w:pStyle w:val="ListParagraph"/>
        <w:numPr>
          <w:ilvl w:val="0"/>
          <w:numId w:val="1"/>
        </w:numPr>
      </w:pPr>
      <w:r>
        <w:t>581 - 26.746.812,78 eura</w:t>
      </w:r>
    </w:p>
    <w:p w14:paraId="2315C25F" w14:textId="77777777" w:rsidR="00BF5D04" w:rsidRDefault="00000000">
      <w:pPr>
        <w:pStyle w:val="ListParagraph"/>
        <w:numPr>
          <w:ilvl w:val="0"/>
          <w:numId w:val="1"/>
        </w:numPr>
      </w:pPr>
      <w:r>
        <w:lastRenderedPageBreak/>
        <w:t>31 - 23.958,43 eura</w:t>
      </w:r>
    </w:p>
    <w:p w14:paraId="14CE8CFB" w14:textId="77777777" w:rsidR="00BF5D04" w:rsidRDefault="00000000">
      <w:pPr>
        <w:pStyle w:val="ListParagraph"/>
        <w:numPr>
          <w:ilvl w:val="0"/>
          <w:numId w:val="1"/>
        </w:numPr>
      </w:pPr>
      <w:r>
        <w:t>51 - 31.636,31 eura</w:t>
      </w:r>
    </w:p>
    <w:p w14:paraId="53034430" w14:textId="77777777" w:rsidR="00BF5D04" w:rsidRDefault="00000000">
      <w:pPr>
        <w:pStyle w:val="ListParagraph"/>
        <w:numPr>
          <w:ilvl w:val="0"/>
          <w:numId w:val="1"/>
        </w:numPr>
      </w:pPr>
      <w:r>
        <w:t>52 - 584,00 eura</w:t>
      </w:r>
    </w:p>
    <w:p w14:paraId="3F5BB875" w14:textId="77777777" w:rsidR="00BF5D04" w:rsidRDefault="00000000">
      <w:r>
        <w:t>Ukupni rashodi ostvareni su u iznosu 410.658.193,72 eura i to za financiranje rashoda za zaposlene, rashode za materijalne, financijske i kapitalne troškove, rashode za nezaposlene i rashode za mjere aktivne politike zapošljavanja.</w:t>
      </w:r>
    </w:p>
    <w:p w14:paraId="3CC0443C" w14:textId="77777777" w:rsidR="00BF5D04" w:rsidRDefault="00000000">
      <w:r>
        <w:t>Manjak prihoda i primitaka u izvještajnom razdoblju iznosi 24.786.048,01 eura. Radi se o metodološkom manjku temeljem primjene novog Pravilnika o proračunskom računovodstvu i računskom planu i očituje se kroz knjiženje rashoda ( plaća za prosinac,  novčane naknade i novčane pomoći za nezaposlene) isplaćenim u siječnju 2026.</w:t>
      </w:r>
    </w:p>
    <w:p w14:paraId="37068292" w14:textId="77777777" w:rsidR="00BF5D04" w:rsidRDefault="00000000">
      <w:r>
        <w:t>Navedeni manjak, zajedno sa prenesenim viškom iz prethodne godine čini ukupan manjak u iznosu 22.650.947,53 eura.</w:t>
      </w:r>
    </w:p>
    <w:p w14:paraId="0FCBED8A" w14:textId="77777777" w:rsidR="00BF5D04" w:rsidRDefault="00000000">
      <w:r>
        <w:br/>
      </w:r>
    </w:p>
    <w:p w14:paraId="1D647A16" w14:textId="77777777" w:rsidR="00BF5D04"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F5D04" w14:paraId="0196A5B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2AC6540" w14:textId="77777777" w:rsidR="00BF5D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AB51820" w14:textId="77777777" w:rsidR="00BF5D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06B4F3B" w14:textId="77777777" w:rsidR="00BF5D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FCB487A" w14:textId="77777777" w:rsidR="00BF5D0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4A83315" w14:textId="77777777" w:rsidR="00BF5D0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3BC8066" w14:textId="77777777" w:rsidR="00BF5D04" w:rsidRDefault="00000000">
            <w:pPr>
              <w:keepNext/>
              <w:keepLines/>
              <w:spacing w:after="0" w:line="240" w:lineRule="auto"/>
              <w:jc w:val="center"/>
            </w:pPr>
            <w:r>
              <w:rPr>
                <w:b/>
                <w:sz w:val="18"/>
              </w:rPr>
              <w:t>Indeks (%)</w:t>
            </w:r>
          </w:p>
        </w:tc>
      </w:tr>
      <w:tr w:rsidR="00BF5D04" w14:paraId="34D3937A" w14:textId="77777777">
        <w:tblPrEx>
          <w:tblCellMar>
            <w:top w:w="0" w:type="dxa"/>
            <w:bottom w:w="0" w:type="dxa"/>
          </w:tblCellMar>
        </w:tblPrEx>
        <w:trPr>
          <w:cantSplit/>
          <w:trHeight w:val="560"/>
        </w:trPr>
        <w:tc>
          <w:tcPr>
            <w:tcW w:w="700" w:type="dxa"/>
            <w:tcMar>
              <w:top w:w="0" w:type="dxa"/>
              <w:bottom w:w="0" w:type="dxa"/>
            </w:tcMar>
            <w:vAlign w:val="center"/>
          </w:tcPr>
          <w:p w14:paraId="0B6137F4" w14:textId="77777777" w:rsidR="00BF5D04" w:rsidRDefault="00000000">
            <w:pPr>
              <w:keepNext/>
              <w:keepLines/>
              <w:spacing w:after="0" w:line="240" w:lineRule="auto"/>
            </w:pPr>
            <w:r>
              <w:rPr>
                <w:sz w:val="18"/>
              </w:rPr>
              <w:t>639</w:t>
            </w:r>
          </w:p>
        </w:tc>
        <w:tc>
          <w:tcPr>
            <w:tcW w:w="3180" w:type="dxa"/>
            <w:tcMar>
              <w:top w:w="0" w:type="dxa"/>
              <w:bottom w:w="0" w:type="dxa"/>
            </w:tcMar>
            <w:vAlign w:val="center"/>
          </w:tcPr>
          <w:p w14:paraId="2BAC3B86" w14:textId="77777777" w:rsidR="00BF5D04" w:rsidRDefault="00000000">
            <w:pPr>
              <w:keepNext/>
              <w:keepLines/>
              <w:spacing w:after="0" w:line="240" w:lineRule="auto"/>
            </w:pPr>
            <w:r>
              <w:rPr>
                <w:sz w:val="18"/>
              </w:rPr>
              <w:t>Prijenosi između proračunskih korisnika istog proračuna (šifre 6391 do 6394)</w:t>
            </w:r>
          </w:p>
        </w:tc>
        <w:tc>
          <w:tcPr>
            <w:tcW w:w="700" w:type="dxa"/>
            <w:tcMar>
              <w:top w:w="0" w:type="dxa"/>
              <w:bottom w:w="0" w:type="dxa"/>
            </w:tcMar>
            <w:vAlign w:val="center"/>
          </w:tcPr>
          <w:p w14:paraId="09744548" w14:textId="77777777" w:rsidR="00BF5D04" w:rsidRDefault="00000000">
            <w:pPr>
              <w:keepNext/>
              <w:keepLines/>
              <w:spacing w:after="0" w:line="240" w:lineRule="auto"/>
            </w:pPr>
            <w:r>
              <w:rPr>
                <w:sz w:val="18"/>
              </w:rPr>
              <w:t>639</w:t>
            </w:r>
          </w:p>
        </w:tc>
        <w:tc>
          <w:tcPr>
            <w:tcW w:w="1860" w:type="dxa"/>
            <w:tcMar>
              <w:top w:w="0" w:type="dxa"/>
              <w:bottom w:w="0" w:type="dxa"/>
            </w:tcMar>
            <w:vAlign w:val="center"/>
          </w:tcPr>
          <w:p w14:paraId="4C92A2D3" w14:textId="77777777" w:rsidR="00BF5D04" w:rsidRDefault="00000000">
            <w:pPr>
              <w:keepNext/>
              <w:keepLines/>
              <w:spacing w:after="0" w:line="240" w:lineRule="auto"/>
              <w:jc w:val="right"/>
            </w:pPr>
            <w:r>
              <w:rPr>
                <w:sz w:val="18"/>
              </w:rPr>
              <w:t>2.867,25</w:t>
            </w:r>
          </w:p>
        </w:tc>
        <w:tc>
          <w:tcPr>
            <w:tcW w:w="1860" w:type="dxa"/>
            <w:tcMar>
              <w:top w:w="0" w:type="dxa"/>
              <w:bottom w:w="0" w:type="dxa"/>
            </w:tcMar>
            <w:vAlign w:val="center"/>
          </w:tcPr>
          <w:p w14:paraId="307D5BAC" w14:textId="77777777" w:rsidR="00BF5D04" w:rsidRDefault="00000000">
            <w:pPr>
              <w:keepNext/>
              <w:keepLines/>
              <w:spacing w:after="0" w:line="240" w:lineRule="auto"/>
              <w:jc w:val="right"/>
            </w:pPr>
            <w:r>
              <w:rPr>
                <w:sz w:val="18"/>
              </w:rPr>
              <w:t>584,00</w:t>
            </w:r>
          </w:p>
        </w:tc>
        <w:tc>
          <w:tcPr>
            <w:tcW w:w="700" w:type="dxa"/>
            <w:tcMar>
              <w:top w:w="0" w:type="dxa"/>
              <w:bottom w:w="0" w:type="dxa"/>
            </w:tcMar>
            <w:vAlign w:val="center"/>
          </w:tcPr>
          <w:p w14:paraId="54329D91" w14:textId="77777777" w:rsidR="00BF5D04" w:rsidRDefault="00000000">
            <w:pPr>
              <w:keepNext/>
              <w:keepLines/>
              <w:spacing w:after="0" w:line="240" w:lineRule="auto"/>
              <w:jc w:val="right"/>
            </w:pPr>
            <w:r>
              <w:rPr>
                <w:sz w:val="18"/>
              </w:rPr>
              <w:t>20,4</w:t>
            </w:r>
          </w:p>
        </w:tc>
      </w:tr>
    </w:tbl>
    <w:p w14:paraId="33CD73F5" w14:textId="77777777" w:rsidR="00BF5D04" w:rsidRDefault="00BF5D04">
      <w:pPr>
        <w:spacing w:after="0"/>
      </w:pPr>
    </w:p>
    <w:p w14:paraId="6BE6402A" w14:textId="77777777" w:rsidR="00BF5D04" w:rsidRDefault="00000000">
      <w:r>
        <w:t>Prijenos između proračunskih korisnika istog proračuna odnosi se na prijenos od Zavoda za vještačenje, profesionalnu rehabilitaciju i zapošljavanje osoba s invaliditetom za nabavu uredske opreme s utvrđenim invaliditetom. Ove godine zabilježen je samo jedan prijenos za nabavu povećala za slabovidnu osobu. </w:t>
      </w:r>
    </w:p>
    <w:p w14:paraId="7B387401" w14:textId="77777777" w:rsidR="00BF5D04" w:rsidRDefault="00BF5D04"/>
    <w:p w14:paraId="3FC7482B" w14:textId="77777777" w:rsidR="00BF5D04"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F5D04" w14:paraId="2FEB2CE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B28728F" w14:textId="77777777" w:rsidR="00BF5D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9BFC917" w14:textId="77777777" w:rsidR="00BF5D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D925BD6" w14:textId="77777777" w:rsidR="00BF5D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2D9EA79" w14:textId="77777777" w:rsidR="00BF5D0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D04F39B" w14:textId="77777777" w:rsidR="00BF5D0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2025E60" w14:textId="77777777" w:rsidR="00BF5D04" w:rsidRDefault="00000000">
            <w:pPr>
              <w:keepNext/>
              <w:keepLines/>
              <w:spacing w:after="0" w:line="240" w:lineRule="auto"/>
              <w:jc w:val="center"/>
            </w:pPr>
            <w:r>
              <w:rPr>
                <w:b/>
                <w:sz w:val="18"/>
              </w:rPr>
              <w:t>Indeks (%)</w:t>
            </w:r>
          </w:p>
        </w:tc>
      </w:tr>
      <w:tr w:rsidR="00BF5D04" w14:paraId="70258B83" w14:textId="77777777">
        <w:tblPrEx>
          <w:tblCellMar>
            <w:top w:w="0" w:type="dxa"/>
            <w:bottom w:w="0" w:type="dxa"/>
          </w:tblCellMar>
        </w:tblPrEx>
        <w:trPr>
          <w:cantSplit/>
          <w:trHeight w:val="560"/>
        </w:trPr>
        <w:tc>
          <w:tcPr>
            <w:tcW w:w="700" w:type="dxa"/>
            <w:tcMar>
              <w:top w:w="0" w:type="dxa"/>
              <w:bottom w:w="0" w:type="dxa"/>
            </w:tcMar>
            <w:vAlign w:val="center"/>
          </w:tcPr>
          <w:p w14:paraId="6C26F502" w14:textId="77777777" w:rsidR="00BF5D04" w:rsidRDefault="00000000">
            <w:pPr>
              <w:keepNext/>
              <w:keepLines/>
              <w:spacing w:after="0" w:line="240" w:lineRule="auto"/>
            </w:pPr>
            <w:r>
              <w:rPr>
                <w:sz w:val="18"/>
              </w:rPr>
              <w:t>66</w:t>
            </w:r>
          </w:p>
        </w:tc>
        <w:tc>
          <w:tcPr>
            <w:tcW w:w="3180" w:type="dxa"/>
            <w:tcMar>
              <w:top w:w="0" w:type="dxa"/>
              <w:bottom w:w="0" w:type="dxa"/>
            </w:tcMar>
            <w:vAlign w:val="center"/>
          </w:tcPr>
          <w:p w14:paraId="2D924311" w14:textId="77777777" w:rsidR="00BF5D04" w:rsidRDefault="00000000">
            <w:pPr>
              <w:keepNext/>
              <w:keepLines/>
              <w:spacing w:after="0" w:line="240" w:lineRule="auto"/>
            </w:pPr>
            <w:r>
              <w:rPr>
                <w:sz w:val="18"/>
              </w:rPr>
              <w:t>Prihodi od prodaje proizvoda i robe te pruženih usluga, prihodi od donacija te povrati po protestiranim jamstvima (šifre 661+663)</w:t>
            </w:r>
          </w:p>
        </w:tc>
        <w:tc>
          <w:tcPr>
            <w:tcW w:w="700" w:type="dxa"/>
            <w:tcMar>
              <w:top w:w="0" w:type="dxa"/>
              <w:bottom w:w="0" w:type="dxa"/>
            </w:tcMar>
            <w:vAlign w:val="center"/>
          </w:tcPr>
          <w:p w14:paraId="5F23A809" w14:textId="77777777" w:rsidR="00BF5D04" w:rsidRDefault="00000000">
            <w:pPr>
              <w:keepNext/>
              <w:keepLines/>
              <w:spacing w:after="0" w:line="240" w:lineRule="auto"/>
            </w:pPr>
            <w:r>
              <w:rPr>
                <w:sz w:val="18"/>
              </w:rPr>
              <w:t>66</w:t>
            </w:r>
          </w:p>
        </w:tc>
        <w:tc>
          <w:tcPr>
            <w:tcW w:w="1860" w:type="dxa"/>
            <w:tcMar>
              <w:top w:w="0" w:type="dxa"/>
              <w:bottom w:w="0" w:type="dxa"/>
            </w:tcMar>
            <w:vAlign w:val="center"/>
          </w:tcPr>
          <w:p w14:paraId="75F23855" w14:textId="77777777" w:rsidR="00BF5D04" w:rsidRDefault="00000000">
            <w:pPr>
              <w:keepNext/>
              <w:keepLines/>
              <w:spacing w:after="0" w:line="240" w:lineRule="auto"/>
              <w:jc w:val="right"/>
            </w:pPr>
            <w:r>
              <w:rPr>
                <w:sz w:val="18"/>
              </w:rPr>
              <w:t>61.766,64</w:t>
            </w:r>
          </w:p>
        </w:tc>
        <w:tc>
          <w:tcPr>
            <w:tcW w:w="1860" w:type="dxa"/>
            <w:tcMar>
              <w:top w:w="0" w:type="dxa"/>
              <w:bottom w:w="0" w:type="dxa"/>
            </w:tcMar>
            <w:vAlign w:val="center"/>
          </w:tcPr>
          <w:p w14:paraId="686817A0" w14:textId="77777777" w:rsidR="00BF5D04" w:rsidRDefault="00000000">
            <w:pPr>
              <w:keepNext/>
              <w:keepLines/>
              <w:spacing w:after="0" w:line="240" w:lineRule="auto"/>
              <w:jc w:val="right"/>
            </w:pPr>
            <w:r>
              <w:rPr>
                <w:sz w:val="18"/>
              </w:rPr>
              <w:t>23.958,43</w:t>
            </w:r>
          </w:p>
        </w:tc>
        <w:tc>
          <w:tcPr>
            <w:tcW w:w="700" w:type="dxa"/>
            <w:tcMar>
              <w:top w:w="0" w:type="dxa"/>
              <w:bottom w:w="0" w:type="dxa"/>
            </w:tcMar>
            <w:vAlign w:val="center"/>
          </w:tcPr>
          <w:p w14:paraId="7C5F53FA" w14:textId="77777777" w:rsidR="00BF5D04" w:rsidRDefault="00000000">
            <w:pPr>
              <w:keepNext/>
              <w:keepLines/>
              <w:spacing w:after="0" w:line="240" w:lineRule="auto"/>
              <w:jc w:val="right"/>
            </w:pPr>
            <w:r>
              <w:rPr>
                <w:sz w:val="18"/>
              </w:rPr>
              <w:t>38,8</w:t>
            </w:r>
          </w:p>
        </w:tc>
      </w:tr>
    </w:tbl>
    <w:p w14:paraId="6B661DCB" w14:textId="77777777" w:rsidR="00BF5D04" w:rsidRDefault="00BF5D04">
      <w:pPr>
        <w:spacing w:after="0"/>
      </w:pPr>
    </w:p>
    <w:p w14:paraId="4791E2AA" w14:textId="77777777" w:rsidR="00BF5D04" w:rsidRDefault="00000000">
      <w:r>
        <w:t>Na skupini 66 evidentirani su prihodi od zakupa poslovnih prostora te prodaje testova koji se primjenjuju u postupcima psihologijskog testiranja u svrhu profesionalnog usmjeravanja temeljem Pravilnika o mjerilima i načinu korištenja namjenskih donacija i vlastitih prihoda Hrvatskog zavoda za zapošljavanje (izvor 31). Budući da je u 2024. Zavod naplatio veliko potraživanje (zaostatke iz ranijih godina) temeljem zakupa poslovnog prostora što je evidentirano kao vlastiti prihod, u ovoj godini stavka je znatno smanjena.</w:t>
      </w:r>
    </w:p>
    <w:p w14:paraId="42B17F94" w14:textId="77777777" w:rsidR="00BF5D04" w:rsidRDefault="00BF5D04"/>
    <w:p w14:paraId="2E783938" w14:textId="77777777" w:rsidR="00BF5D04" w:rsidRDefault="00000000">
      <w:pPr>
        <w:keepNext/>
        <w:spacing w:line="240" w:lineRule="auto"/>
        <w:jc w:val="center"/>
      </w:pPr>
      <w:r>
        <w:rPr>
          <w:sz w:val="28"/>
        </w:rPr>
        <w:lastRenderedPageBreak/>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F5D04" w14:paraId="0C62392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537D4C3" w14:textId="77777777" w:rsidR="00BF5D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9EA1840" w14:textId="77777777" w:rsidR="00BF5D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4B1402C" w14:textId="77777777" w:rsidR="00BF5D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EF78133" w14:textId="77777777" w:rsidR="00BF5D0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8243142" w14:textId="77777777" w:rsidR="00BF5D0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F827F80" w14:textId="77777777" w:rsidR="00BF5D04" w:rsidRDefault="00000000">
            <w:pPr>
              <w:keepNext/>
              <w:keepLines/>
              <w:spacing w:after="0" w:line="240" w:lineRule="auto"/>
              <w:jc w:val="center"/>
            </w:pPr>
            <w:r>
              <w:rPr>
                <w:b/>
                <w:sz w:val="18"/>
              </w:rPr>
              <w:t>Indeks (%)</w:t>
            </w:r>
          </w:p>
        </w:tc>
      </w:tr>
      <w:tr w:rsidR="00BF5D04" w14:paraId="2568484A" w14:textId="77777777">
        <w:tblPrEx>
          <w:tblCellMar>
            <w:top w:w="0" w:type="dxa"/>
            <w:bottom w:w="0" w:type="dxa"/>
          </w:tblCellMar>
        </w:tblPrEx>
        <w:trPr>
          <w:cantSplit/>
          <w:trHeight w:val="560"/>
        </w:trPr>
        <w:tc>
          <w:tcPr>
            <w:tcW w:w="700" w:type="dxa"/>
            <w:tcMar>
              <w:top w:w="0" w:type="dxa"/>
              <w:bottom w:w="0" w:type="dxa"/>
            </w:tcMar>
            <w:vAlign w:val="center"/>
          </w:tcPr>
          <w:p w14:paraId="2F36627C" w14:textId="77777777" w:rsidR="00BF5D04" w:rsidRDefault="00000000">
            <w:pPr>
              <w:keepNext/>
              <w:keepLines/>
              <w:spacing w:after="0" w:line="240" w:lineRule="auto"/>
            </w:pPr>
            <w:r>
              <w:rPr>
                <w:sz w:val="18"/>
              </w:rPr>
              <w:t>67</w:t>
            </w:r>
          </w:p>
        </w:tc>
        <w:tc>
          <w:tcPr>
            <w:tcW w:w="3180" w:type="dxa"/>
            <w:tcMar>
              <w:top w:w="0" w:type="dxa"/>
              <w:bottom w:w="0" w:type="dxa"/>
            </w:tcMar>
            <w:vAlign w:val="center"/>
          </w:tcPr>
          <w:p w14:paraId="546CEB10" w14:textId="77777777" w:rsidR="00BF5D04" w:rsidRDefault="00000000">
            <w:pPr>
              <w:keepNext/>
              <w:keepLines/>
              <w:spacing w:after="0" w:line="240" w:lineRule="auto"/>
            </w:pPr>
            <w:r>
              <w:rPr>
                <w:sz w:val="18"/>
              </w:rPr>
              <w:t>Prihodi iz nadležnog proračuna i od HZZO-a na temelju ugovornih obveza (šifre 671+673)</w:t>
            </w:r>
          </w:p>
        </w:tc>
        <w:tc>
          <w:tcPr>
            <w:tcW w:w="700" w:type="dxa"/>
            <w:tcMar>
              <w:top w:w="0" w:type="dxa"/>
              <w:bottom w:w="0" w:type="dxa"/>
            </w:tcMar>
            <w:vAlign w:val="center"/>
          </w:tcPr>
          <w:p w14:paraId="7182B19B" w14:textId="77777777" w:rsidR="00BF5D04" w:rsidRDefault="00000000">
            <w:pPr>
              <w:keepNext/>
              <w:keepLines/>
              <w:spacing w:after="0" w:line="240" w:lineRule="auto"/>
            </w:pPr>
            <w:r>
              <w:rPr>
                <w:sz w:val="18"/>
              </w:rPr>
              <w:t>67</w:t>
            </w:r>
          </w:p>
        </w:tc>
        <w:tc>
          <w:tcPr>
            <w:tcW w:w="1860" w:type="dxa"/>
            <w:tcMar>
              <w:top w:w="0" w:type="dxa"/>
              <w:bottom w:w="0" w:type="dxa"/>
            </w:tcMar>
            <w:vAlign w:val="center"/>
          </w:tcPr>
          <w:p w14:paraId="3DE47D9F" w14:textId="77777777" w:rsidR="00BF5D04" w:rsidRDefault="00000000">
            <w:pPr>
              <w:keepNext/>
              <w:keepLines/>
              <w:spacing w:after="0" w:line="240" w:lineRule="auto"/>
              <w:jc w:val="right"/>
            </w:pPr>
            <w:r>
              <w:rPr>
                <w:sz w:val="18"/>
              </w:rPr>
              <w:t>228.538.633,42</w:t>
            </w:r>
          </w:p>
        </w:tc>
        <w:tc>
          <w:tcPr>
            <w:tcW w:w="1860" w:type="dxa"/>
            <w:tcMar>
              <w:top w:w="0" w:type="dxa"/>
              <w:bottom w:w="0" w:type="dxa"/>
            </w:tcMar>
            <w:vAlign w:val="center"/>
          </w:tcPr>
          <w:p w14:paraId="01B40F69" w14:textId="77777777" w:rsidR="00BF5D04" w:rsidRDefault="00000000">
            <w:pPr>
              <w:keepNext/>
              <w:keepLines/>
              <w:spacing w:after="0" w:line="240" w:lineRule="auto"/>
              <w:jc w:val="right"/>
            </w:pPr>
            <w:r>
              <w:rPr>
                <w:sz w:val="18"/>
              </w:rPr>
              <w:t>385.815.966,97</w:t>
            </w:r>
          </w:p>
        </w:tc>
        <w:tc>
          <w:tcPr>
            <w:tcW w:w="700" w:type="dxa"/>
            <w:tcMar>
              <w:top w:w="0" w:type="dxa"/>
              <w:bottom w:w="0" w:type="dxa"/>
            </w:tcMar>
            <w:vAlign w:val="center"/>
          </w:tcPr>
          <w:p w14:paraId="73BFF008" w14:textId="77777777" w:rsidR="00BF5D04" w:rsidRDefault="00000000">
            <w:pPr>
              <w:keepNext/>
              <w:keepLines/>
              <w:spacing w:after="0" w:line="240" w:lineRule="auto"/>
              <w:jc w:val="right"/>
            </w:pPr>
            <w:r>
              <w:rPr>
                <w:sz w:val="18"/>
              </w:rPr>
              <w:t>168,8</w:t>
            </w:r>
          </w:p>
        </w:tc>
      </w:tr>
    </w:tbl>
    <w:p w14:paraId="2CAA0026" w14:textId="77777777" w:rsidR="00BF5D04" w:rsidRDefault="00BF5D04">
      <w:pPr>
        <w:spacing w:after="0"/>
      </w:pPr>
    </w:p>
    <w:p w14:paraId="10D46D4D" w14:textId="77777777" w:rsidR="00BF5D04" w:rsidRDefault="00000000">
      <w:r>
        <w:t xml:space="preserve">Prilikom izrade financijskog plana Hrvatskog zavoda zapošljavanje za razdoblje 2025. – 2027., prihodi na izvorima financiranja 561 i 581 koji su u prethodnom izvještajnom razdoblju bili evidentirani u okviru skupine 632, od 2025. se evidentiraju u okviru skupine </w:t>
      </w:r>
      <w:r>
        <w:rPr>
          <w:i/>
        </w:rPr>
        <w:t>67- Prihodi iz nadležnog proračuna i od HZZO-a temeljem ugovornih obveza</w:t>
      </w:r>
      <w:r>
        <w:t>. Zato je na tim stavkama zabilježeno veliko odstupanje - povećanje, dok je iz istog razloga zabilježeno veće odstupanje - smanjenje na skupini 632.</w:t>
      </w:r>
    </w:p>
    <w:p w14:paraId="4071DEFE" w14:textId="77777777" w:rsidR="00BF5D04" w:rsidRDefault="00BF5D04"/>
    <w:p w14:paraId="6B847CB4" w14:textId="77777777" w:rsidR="00BF5D04" w:rsidRDefault="0000000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F5D04" w14:paraId="1F53429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4B0FBB4" w14:textId="77777777" w:rsidR="00BF5D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4B4FB0A" w14:textId="77777777" w:rsidR="00BF5D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E0F6F85" w14:textId="77777777" w:rsidR="00BF5D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13626B2" w14:textId="77777777" w:rsidR="00BF5D0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5774B49" w14:textId="77777777" w:rsidR="00BF5D0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C901A71" w14:textId="77777777" w:rsidR="00BF5D04" w:rsidRDefault="00000000">
            <w:pPr>
              <w:keepNext/>
              <w:keepLines/>
              <w:spacing w:after="0" w:line="240" w:lineRule="auto"/>
              <w:jc w:val="center"/>
            </w:pPr>
            <w:r>
              <w:rPr>
                <w:b/>
                <w:sz w:val="18"/>
              </w:rPr>
              <w:t>Indeks (%)</w:t>
            </w:r>
          </w:p>
        </w:tc>
      </w:tr>
      <w:tr w:rsidR="00BF5D04" w14:paraId="443EF130" w14:textId="77777777">
        <w:tblPrEx>
          <w:tblCellMar>
            <w:top w:w="0" w:type="dxa"/>
            <w:bottom w:w="0" w:type="dxa"/>
          </w:tblCellMar>
        </w:tblPrEx>
        <w:trPr>
          <w:cantSplit/>
          <w:trHeight w:val="560"/>
        </w:trPr>
        <w:tc>
          <w:tcPr>
            <w:tcW w:w="700" w:type="dxa"/>
            <w:tcMar>
              <w:top w:w="0" w:type="dxa"/>
              <w:bottom w:w="0" w:type="dxa"/>
            </w:tcMar>
            <w:vAlign w:val="center"/>
          </w:tcPr>
          <w:p w14:paraId="582F212E" w14:textId="77777777" w:rsidR="00BF5D04" w:rsidRDefault="00000000">
            <w:pPr>
              <w:keepNext/>
              <w:keepLines/>
              <w:spacing w:after="0" w:line="240" w:lineRule="auto"/>
            </w:pPr>
            <w:r>
              <w:rPr>
                <w:sz w:val="18"/>
              </w:rPr>
              <w:t>31</w:t>
            </w:r>
          </w:p>
        </w:tc>
        <w:tc>
          <w:tcPr>
            <w:tcW w:w="3180" w:type="dxa"/>
            <w:tcMar>
              <w:top w:w="0" w:type="dxa"/>
              <w:bottom w:w="0" w:type="dxa"/>
            </w:tcMar>
            <w:vAlign w:val="center"/>
          </w:tcPr>
          <w:p w14:paraId="2318B8A1" w14:textId="77777777" w:rsidR="00BF5D04" w:rsidRDefault="00000000">
            <w:pPr>
              <w:keepNext/>
              <w:keepLines/>
              <w:spacing w:after="0" w:line="240" w:lineRule="auto"/>
            </w:pPr>
            <w:r>
              <w:rPr>
                <w:sz w:val="18"/>
              </w:rPr>
              <w:t>Rashodi za zaposlene (šifre 311+312+313)</w:t>
            </w:r>
          </w:p>
        </w:tc>
        <w:tc>
          <w:tcPr>
            <w:tcW w:w="700" w:type="dxa"/>
            <w:tcMar>
              <w:top w:w="0" w:type="dxa"/>
              <w:bottom w:w="0" w:type="dxa"/>
            </w:tcMar>
            <w:vAlign w:val="center"/>
          </w:tcPr>
          <w:p w14:paraId="066FC6F1" w14:textId="77777777" w:rsidR="00BF5D04" w:rsidRDefault="00000000">
            <w:pPr>
              <w:keepNext/>
              <w:keepLines/>
              <w:spacing w:after="0" w:line="240" w:lineRule="auto"/>
            </w:pPr>
            <w:r>
              <w:rPr>
                <w:sz w:val="18"/>
              </w:rPr>
              <w:t>31</w:t>
            </w:r>
          </w:p>
        </w:tc>
        <w:tc>
          <w:tcPr>
            <w:tcW w:w="1860" w:type="dxa"/>
            <w:tcMar>
              <w:top w:w="0" w:type="dxa"/>
              <w:bottom w:w="0" w:type="dxa"/>
            </w:tcMar>
            <w:vAlign w:val="center"/>
          </w:tcPr>
          <w:p w14:paraId="092FC5D9" w14:textId="77777777" w:rsidR="00BF5D04" w:rsidRDefault="00000000">
            <w:pPr>
              <w:keepNext/>
              <w:keepLines/>
              <w:spacing w:after="0" w:line="240" w:lineRule="auto"/>
              <w:jc w:val="right"/>
            </w:pPr>
            <w:r>
              <w:rPr>
                <w:sz w:val="18"/>
              </w:rPr>
              <w:t>44.369.599,57</w:t>
            </w:r>
          </w:p>
        </w:tc>
        <w:tc>
          <w:tcPr>
            <w:tcW w:w="1860" w:type="dxa"/>
            <w:tcMar>
              <w:top w:w="0" w:type="dxa"/>
              <w:bottom w:w="0" w:type="dxa"/>
            </w:tcMar>
            <w:vAlign w:val="center"/>
          </w:tcPr>
          <w:p w14:paraId="08C5D573" w14:textId="77777777" w:rsidR="00BF5D04" w:rsidRDefault="00000000">
            <w:pPr>
              <w:keepNext/>
              <w:keepLines/>
              <w:spacing w:after="0" w:line="240" w:lineRule="auto"/>
              <w:jc w:val="right"/>
            </w:pPr>
            <w:r>
              <w:rPr>
                <w:sz w:val="18"/>
              </w:rPr>
              <w:t>50.981.386,07</w:t>
            </w:r>
          </w:p>
        </w:tc>
        <w:tc>
          <w:tcPr>
            <w:tcW w:w="700" w:type="dxa"/>
            <w:tcMar>
              <w:top w:w="0" w:type="dxa"/>
              <w:bottom w:w="0" w:type="dxa"/>
            </w:tcMar>
            <w:vAlign w:val="center"/>
          </w:tcPr>
          <w:p w14:paraId="289A586C" w14:textId="77777777" w:rsidR="00BF5D04" w:rsidRDefault="00000000">
            <w:pPr>
              <w:keepNext/>
              <w:keepLines/>
              <w:spacing w:after="0" w:line="240" w:lineRule="auto"/>
              <w:jc w:val="right"/>
            </w:pPr>
            <w:r>
              <w:rPr>
                <w:sz w:val="18"/>
              </w:rPr>
              <w:t>114,9</w:t>
            </w:r>
          </w:p>
        </w:tc>
      </w:tr>
    </w:tbl>
    <w:p w14:paraId="3DB7A2FE" w14:textId="77777777" w:rsidR="00BF5D04" w:rsidRDefault="00BF5D04">
      <w:pPr>
        <w:spacing w:after="0"/>
      </w:pPr>
    </w:p>
    <w:p w14:paraId="48F4BAF9" w14:textId="77777777" w:rsidR="00BF5D04" w:rsidRDefault="00000000">
      <w:r>
        <w:t>Veća odstupanja u odnosu na prethodno izvještajno razdoblje zabilježena su na svim stavkama u okviru skupine 31 – rashodi za zaposlene i to iz razloga povećanja plaća temeljem Uredbe o nazivima radnih mjesta, uvjetima za raspored i koeficijentima za obračun plaće u javnim službama koja je na snagu stupila 1. ožujka 2024.</w:t>
      </w:r>
    </w:p>
    <w:p w14:paraId="6FB5ADFB" w14:textId="77777777" w:rsidR="00BF5D04" w:rsidRDefault="00BF5D04"/>
    <w:p w14:paraId="27E079FC" w14:textId="77777777" w:rsidR="00BF5D04"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F5D04" w14:paraId="7E679CF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9B47F80" w14:textId="77777777" w:rsidR="00BF5D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C8C523A" w14:textId="77777777" w:rsidR="00BF5D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E3B5728" w14:textId="77777777" w:rsidR="00BF5D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58B7C71" w14:textId="77777777" w:rsidR="00BF5D0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331A589" w14:textId="77777777" w:rsidR="00BF5D0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2A8523C" w14:textId="77777777" w:rsidR="00BF5D04" w:rsidRDefault="00000000">
            <w:pPr>
              <w:keepNext/>
              <w:keepLines/>
              <w:spacing w:after="0" w:line="240" w:lineRule="auto"/>
              <w:jc w:val="center"/>
            </w:pPr>
            <w:r>
              <w:rPr>
                <w:b/>
                <w:sz w:val="18"/>
              </w:rPr>
              <w:t>Indeks (%)</w:t>
            </w:r>
          </w:p>
        </w:tc>
      </w:tr>
      <w:tr w:rsidR="00BF5D04" w14:paraId="7205DB8B" w14:textId="77777777">
        <w:tblPrEx>
          <w:tblCellMar>
            <w:top w:w="0" w:type="dxa"/>
            <w:bottom w:w="0" w:type="dxa"/>
          </w:tblCellMar>
        </w:tblPrEx>
        <w:trPr>
          <w:cantSplit/>
          <w:trHeight w:val="560"/>
        </w:trPr>
        <w:tc>
          <w:tcPr>
            <w:tcW w:w="700" w:type="dxa"/>
            <w:tcMar>
              <w:top w:w="0" w:type="dxa"/>
              <w:bottom w:w="0" w:type="dxa"/>
            </w:tcMar>
            <w:vAlign w:val="center"/>
          </w:tcPr>
          <w:p w14:paraId="67FE83E7" w14:textId="77777777" w:rsidR="00BF5D04" w:rsidRDefault="00000000">
            <w:pPr>
              <w:keepNext/>
              <w:keepLines/>
              <w:spacing w:after="0" w:line="240" w:lineRule="auto"/>
            </w:pPr>
            <w:r>
              <w:rPr>
                <w:sz w:val="18"/>
              </w:rPr>
              <w:t>3213</w:t>
            </w:r>
          </w:p>
        </w:tc>
        <w:tc>
          <w:tcPr>
            <w:tcW w:w="3180" w:type="dxa"/>
            <w:tcMar>
              <w:top w:w="0" w:type="dxa"/>
              <w:bottom w:w="0" w:type="dxa"/>
            </w:tcMar>
            <w:vAlign w:val="center"/>
          </w:tcPr>
          <w:p w14:paraId="2A1727A3" w14:textId="77777777" w:rsidR="00BF5D04" w:rsidRDefault="00000000">
            <w:pPr>
              <w:keepNext/>
              <w:keepLines/>
              <w:spacing w:after="0" w:line="240" w:lineRule="auto"/>
            </w:pPr>
            <w:r>
              <w:rPr>
                <w:sz w:val="18"/>
              </w:rPr>
              <w:t>Stručno usavršavanje zaposlenika</w:t>
            </w:r>
          </w:p>
        </w:tc>
        <w:tc>
          <w:tcPr>
            <w:tcW w:w="700" w:type="dxa"/>
            <w:tcMar>
              <w:top w:w="0" w:type="dxa"/>
              <w:bottom w:w="0" w:type="dxa"/>
            </w:tcMar>
            <w:vAlign w:val="center"/>
          </w:tcPr>
          <w:p w14:paraId="55584F36" w14:textId="77777777" w:rsidR="00BF5D04" w:rsidRDefault="00000000">
            <w:pPr>
              <w:keepNext/>
              <w:keepLines/>
              <w:spacing w:after="0" w:line="240" w:lineRule="auto"/>
            </w:pPr>
            <w:r>
              <w:rPr>
                <w:sz w:val="18"/>
              </w:rPr>
              <w:t>3213</w:t>
            </w:r>
          </w:p>
        </w:tc>
        <w:tc>
          <w:tcPr>
            <w:tcW w:w="1860" w:type="dxa"/>
            <w:tcMar>
              <w:top w:w="0" w:type="dxa"/>
              <w:bottom w:w="0" w:type="dxa"/>
            </w:tcMar>
            <w:vAlign w:val="center"/>
          </w:tcPr>
          <w:p w14:paraId="37E3B0E5" w14:textId="77777777" w:rsidR="00BF5D04" w:rsidRDefault="00000000">
            <w:pPr>
              <w:keepNext/>
              <w:keepLines/>
              <w:spacing w:after="0" w:line="240" w:lineRule="auto"/>
              <w:jc w:val="right"/>
            </w:pPr>
            <w:r>
              <w:rPr>
                <w:sz w:val="18"/>
              </w:rPr>
              <w:t>45.209,64</w:t>
            </w:r>
          </w:p>
        </w:tc>
        <w:tc>
          <w:tcPr>
            <w:tcW w:w="1860" w:type="dxa"/>
            <w:tcMar>
              <w:top w:w="0" w:type="dxa"/>
              <w:bottom w:w="0" w:type="dxa"/>
            </w:tcMar>
            <w:vAlign w:val="center"/>
          </w:tcPr>
          <w:p w14:paraId="350618B5" w14:textId="77777777" w:rsidR="00BF5D04" w:rsidRDefault="00000000">
            <w:pPr>
              <w:keepNext/>
              <w:keepLines/>
              <w:spacing w:after="0" w:line="240" w:lineRule="auto"/>
              <w:jc w:val="right"/>
            </w:pPr>
            <w:r>
              <w:rPr>
                <w:sz w:val="18"/>
              </w:rPr>
              <w:t>56.432,56</w:t>
            </w:r>
          </w:p>
        </w:tc>
        <w:tc>
          <w:tcPr>
            <w:tcW w:w="700" w:type="dxa"/>
            <w:tcMar>
              <w:top w:w="0" w:type="dxa"/>
              <w:bottom w:w="0" w:type="dxa"/>
            </w:tcMar>
            <w:vAlign w:val="center"/>
          </w:tcPr>
          <w:p w14:paraId="45EEB796" w14:textId="77777777" w:rsidR="00BF5D04" w:rsidRDefault="00000000">
            <w:pPr>
              <w:keepNext/>
              <w:keepLines/>
              <w:spacing w:after="0" w:line="240" w:lineRule="auto"/>
              <w:jc w:val="right"/>
            </w:pPr>
            <w:r>
              <w:rPr>
                <w:sz w:val="18"/>
              </w:rPr>
              <w:t>124,8</w:t>
            </w:r>
          </w:p>
        </w:tc>
      </w:tr>
    </w:tbl>
    <w:p w14:paraId="65C44C78" w14:textId="77777777" w:rsidR="00BF5D04" w:rsidRDefault="00BF5D04">
      <w:pPr>
        <w:spacing w:after="0"/>
      </w:pPr>
    </w:p>
    <w:p w14:paraId="36B683DE" w14:textId="77777777" w:rsidR="00BF5D04" w:rsidRDefault="00000000">
      <w:r>
        <w:t>Stavka je prvenstveno uvećana radi organizacija radionica za stručno usavršavanje zaposlenika, posebno radionice o prodajnim vještinama za savjetnike koji izravno rade sa strankama, odnosno poslodavcima te  edukacija o primjeni 16PF i CTI u postupku selekcije upravljanja karijerom.</w:t>
      </w:r>
    </w:p>
    <w:p w14:paraId="12EDA12F" w14:textId="77777777" w:rsidR="00BF5D04" w:rsidRDefault="00BF5D04"/>
    <w:p w14:paraId="414D5121" w14:textId="77777777" w:rsidR="00BF5D04" w:rsidRDefault="00000000">
      <w:pPr>
        <w:keepNext/>
        <w:spacing w:line="240" w:lineRule="auto"/>
        <w:jc w:val="center"/>
      </w:pPr>
      <w:r>
        <w:rPr>
          <w:sz w:val="28"/>
        </w:rPr>
        <w:lastRenderedPageBreak/>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F5D04" w14:paraId="57C91CD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E2E3CA6" w14:textId="77777777" w:rsidR="00BF5D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ED98817" w14:textId="77777777" w:rsidR="00BF5D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A46C7C0" w14:textId="77777777" w:rsidR="00BF5D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869F214" w14:textId="77777777" w:rsidR="00BF5D0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378E798" w14:textId="77777777" w:rsidR="00BF5D0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0599581" w14:textId="77777777" w:rsidR="00BF5D04" w:rsidRDefault="00000000">
            <w:pPr>
              <w:keepNext/>
              <w:keepLines/>
              <w:spacing w:after="0" w:line="240" w:lineRule="auto"/>
              <w:jc w:val="center"/>
            </w:pPr>
            <w:r>
              <w:rPr>
                <w:b/>
                <w:sz w:val="18"/>
              </w:rPr>
              <w:t>Indeks (%)</w:t>
            </w:r>
          </w:p>
        </w:tc>
      </w:tr>
      <w:tr w:rsidR="00BF5D04" w14:paraId="44789C62" w14:textId="77777777">
        <w:tblPrEx>
          <w:tblCellMar>
            <w:top w:w="0" w:type="dxa"/>
            <w:bottom w:w="0" w:type="dxa"/>
          </w:tblCellMar>
        </w:tblPrEx>
        <w:trPr>
          <w:cantSplit/>
          <w:trHeight w:val="560"/>
        </w:trPr>
        <w:tc>
          <w:tcPr>
            <w:tcW w:w="700" w:type="dxa"/>
            <w:tcMar>
              <w:top w:w="0" w:type="dxa"/>
              <w:bottom w:w="0" w:type="dxa"/>
            </w:tcMar>
            <w:vAlign w:val="center"/>
          </w:tcPr>
          <w:p w14:paraId="5963B5E0" w14:textId="77777777" w:rsidR="00BF5D04" w:rsidRDefault="00000000">
            <w:pPr>
              <w:keepNext/>
              <w:keepLines/>
              <w:spacing w:after="0" w:line="240" w:lineRule="auto"/>
            </w:pPr>
            <w:r>
              <w:rPr>
                <w:sz w:val="18"/>
              </w:rPr>
              <w:t>3221</w:t>
            </w:r>
          </w:p>
        </w:tc>
        <w:tc>
          <w:tcPr>
            <w:tcW w:w="3180" w:type="dxa"/>
            <w:tcMar>
              <w:top w:w="0" w:type="dxa"/>
              <w:bottom w:w="0" w:type="dxa"/>
            </w:tcMar>
            <w:vAlign w:val="center"/>
          </w:tcPr>
          <w:p w14:paraId="61452971" w14:textId="77777777" w:rsidR="00BF5D04" w:rsidRDefault="00000000">
            <w:pPr>
              <w:keepNext/>
              <w:keepLines/>
              <w:spacing w:after="0" w:line="240" w:lineRule="auto"/>
            </w:pPr>
            <w:r>
              <w:rPr>
                <w:sz w:val="18"/>
              </w:rPr>
              <w:t>Uredski materijal i ostali materijalni rashodi</w:t>
            </w:r>
          </w:p>
        </w:tc>
        <w:tc>
          <w:tcPr>
            <w:tcW w:w="700" w:type="dxa"/>
            <w:tcMar>
              <w:top w:w="0" w:type="dxa"/>
              <w:bottom w:w="0" w:type="dxa"/>
            </w:tcMar>
            <w:vAlign w:val="center"/>
          </w:tcPr>
          <w:p w14:paraId="3553B070" w14:textId="77777777" w:rsidR="00BF5D04" w:rsidRDefault="00000000">
            <w:pPr>
              <w:keepNext/>
              <w:keepLines/>
              <w:spacing w:after="0" w:line="240" w:lineRule="auto"/>
            </w:pPr>
            <w:r>
              <w:rPr>
                <w:sz w:val="18"/>
              </w:rPr>
              <w:t>3221</w:t>
            </w:r>
          </w:p>
        </w:tc>
        <w:tc>
          <w:tcPr>
            <w:tcW w:w="1860" w:type="dxa"/>
            <w:tcMar>
              <w:top w:w="0" w:type="dxa"/>
              <w:bottom w:w="0" w:type="dxa"/>
            </w:tcMar>
            <w:vAlign w:val="center"/>
          </w:tcPr>
          <w:p w14:paraId="66A4911A" w14:textId="77777777" w:rsidR="00BF5D04" w:rsidRDefault="00000000">
            <w:pPr>
              <w:keepNext/>
              <w:keepLines/>
              <w:spacing w:after="0" w:line="240" w:lineRule="auto"/>
              <w:jc w:val="right"/>
            </w:pPr>
            <w:r>
              <w:rPr>
                <w:sz w:val="18"/>
              </w:rPr>
              <w:t>169.472,30</w:t>
            </w:r>
          </w:p>
        </w:tc>
        <w:tc>
          <w:tcPr>
            <w:tcW w:w="1860" w:type="dxa"/>
            <w:tcMar>
              <w:top w:w="0" w:type="dxa"/>
              <w:bottom w:w="0" w:type="dxa"/>
            </w:tcMar>
            <w:vAlign w:val="center"/>
          </w:tcPr>
          <w:p w14:paraId="525F792C" w14:textId="77777777" w:rsidR="00BF5D04" w:rsidRDefault="00000000">
            <w:pPr>
              <w:keepNext/>
              <w:keepLines/>
              <w:spacing w:after="0" w:line="240" w:lineRule="auto"/>
              <w:jc w:val="right"/>
            </w:pPr>
            <w:r>
              <w:rPr>
                <w:sz w:val="18"/>
              </w:rPr>
              <w:t>203.398,79</w:t>
            </w:r>
          </w:p>
        </w:tc>
        <w:tc>
          <w:tcPr>
            <w:tcW w:w="700" w:type="dxa"/>
            <w:tcMar>
              <w:top w:w="0" w:type="dxa"/>
              <w:bottom w:w="0" w:type="dxa"/>
            </w:tcMar>
            <w:vAlign w:val="center"/>
          </w:tcPr>
          <w:p w14:paraId="33B867F3" w14:textId="77777777" w:rsidR="00BF5D04" w:rsidRDefault="00000000">
            <w:pPr>
              <w:keepNext/>
              <w:keepLines/>
              <w:spacing w:after="0" w:line="240" w:lineRule="auto"/>
              <w:jc w:val="right"/>
            </w:pPr>
            <w:r>
              <w:rPr>
                <w:sz w:val="18"/>
              </w:rPr>
              <w:t>120,0</w:t>
            </w:r>
          </w:p>
        </w:tc>
      </w:tr>
    </w:tbl>
    <w:p w14:paraId="621443E6" w14:textId="77777777" w:rsidR="00BF5D04" w:rsidRDefault="00BF5D04">
      <w:pPr>
        <w:spacing w:after="0"/>
      </w:pPr>
    </w:p>
    <w:p w14:paraId="3E7DC8C3" w14:textId="77777777" w:rsidR="00BF5D04" w:rsidRDefault="00000000">
      <w:r>
        <w:t>Stavka je uvećana radi nabave većih količina uredskog materijala.</w:t>
      </w:r>
    </w:p>
    <w:p w14:paraId="7A8BC47E" w14:textId="77777777" w:rsidR="00BF5D04" w:rsidRDefault="00000000">
      <w:r>
        <w:t> </w:t>
      </w:r>
    </w:p>
    <w:p w14:paraId="5EFE05F1" w14:textId="77777777" w:rsidR="00BF5D04" w:rsidRDefault="00BF5D04"/>
    <w:p w14:paraId="5236C53E" w14:textId="77777777" w:rsidR="00BF5D04" w:rsidRDefault="00000000">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F5D04" w14:paraId="65B31AE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A39BB6F" w14:textId="77777777" w:rsidR="00BF5D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3D857FC" w14:textId="77777777" w:rsidR="00BF5D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DB41D0A" w14:textId="77777777" w:rsidR="00BF5D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1CACED7" w14:textId="77777777" w:rsidR="00BF5D0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C6DEF83" w14:textId="77777777" w:rsidR="00BF5D0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08A5386" w14:textId="77777777" w:rsidR="00BF5D04" w:rsidRDefault="00000000">
            <w:pPr>
              <w:keepNext/>
              <w:keepLines/>
              <w:spacing w:after="0" w:line="240" w:lineRule="auto"/>
              <w:jc w:val="center"/>
            </w:pPr>
            <w:r>
              <w:rPr>
                <w:b/>
                <w:sz w:val="18"/>
              </w:rPr>
              <w:t>Indeks (%)</w:t>
            </w:r>
          </w:p>
        </w:tc>
      </w:tr>
      <w:tr w:rsidR="00BF5D04" w14:paraId="21335E86" w14:textId="77777777">
        <w:tblPrEx>
          <w:tblCellMar>
            <w:top w:w="0" w:type="dxa"/>
            <w:bottom w:w="0" w:type="dxa"/>
          </w:tblCellMar>
        </w:tblPrEx>
        <w:trPr>
          <w:cantSplit/>
          <w:trHeight w:val="560"/>
        </w:trPr>
        <w:tc>
          <w:tcPr>
            <w:tcW w:w="700" w:type="dxa"/>
            <w:tcMar>
              <w:top w:w="0" w:type="dxa"/>
              <w:bottom w:w="0" w:type="dxa"/>
            </w:tcMar>
            <w:vAlign w:val="center"/>
          </w:tcPr>
          <w:p w14:paraId="231C57AE" w14:textId="77777777" w:rsidR="00BF5D04" w:rsidRDefault="00000000">
            <w:pPr>
              <w:keepNext/>
              <w:keepLines/>
              <w:spacing w:after="0" w:line="240" w:lineRule="auto"/>
            </w:pPr>
            <w:r>
              <w:rPr>
                <w:sz w:val="18"/>
              </w:rPr>
              <w:t>3235</w:t>
            </w:r>
          </w:p>
        </w:tc>
        <w:tc>
          <w:tcPr>
            <w:tcW w:w="3180" w:type="dxa"/>
            <w:tcMar>
              <w:top w:w="0" w:type="dxa"/>
              <w:bottom w:w="0" w:type="dxa"/>
            </w:tcMar>
            <w:vAlign w:val="center"/>
          </w:tcPr>
          <w:p w14:paraId="115C6B6E" w14:textId="77777777" w:rsidR="00BF5D04" w:rsidRDefault="00000000">
            <w:pPr>
              <w:keepNext/>
              <w:keepLines/>
              <w:spacing w:after="0" w:line="240" w:lineRule="auto"/>
            </w:pPr>
            <w:r>
              <w:rPr>
                <w:sz w:val="18"/>
              </w:rPr>
              <w:t>Zakupnine i najamnine</w:t>
            </w:r>
          </w:p>
        </w:tc>
        <w:tc>
          <w:tcPr>
            <w:tcW w:w="700" w:type="dxa"/>
            <w:tcMar>
              <w:top w:w="0" w:type="dxa"/>
              <w:bottom w:w="0" w:type="dxa"/>
            </w:tcMar>
            <w:vAlign w:val="center"/>
          </w:tcPr>
          <w:p w14:paraId="21921DCD" w14:textId="77777777" w:rsidR="00BF5D04" w:rsidRDefault="00000000">
            <w:pPr>
              <w:keepNext/>
              <w:keepLines/>
              <w:spacing w:after="0" w:line="240" w:lineRule="auto"/>
            </w:pPr>
            <w:r>
              <w:rPr>
                <w:sz w:val="18"/>
              </w:rPr>
              <w:t>3235</w:t>
            </w:r>
          </w:p>
        </w:tc>
        <w:tc>
          <w:tcPr>
            <w:tcW w:w="1860" w:type="dxa"/>
            <w:tcMar>
              <w:top w:w="0" w:type="dxa"/>
              <w:bottom w:w="0" w:type="dxa"/>
            </w:tcMar>
            <w:vAlign w:val="center"/>
          </w:tcPr>
          <w:p w14:paraId="7D8DF5D8" w14:textId="77777777" w:rsidR="00BF5D04" w:rsidRDefault="00000000">
            <w:pPr>
              <w:keepNext/>
              <w:keepLines/>
              <w:spacing w:after="0" w:line="240" w:lineRule="auto"/>
              <w:jc w:val="right"/>
            </w:pPr>
            <w:r>
              <w:rPr>
                <w:sz w:val="18"/>
              </w:rPr>
              <w:t>2.821.864,04</w:t>
            </w:r>
          </w:p>
        </w:tc>
        <w:tc>
          <w:tcPr>
            <w:tcW w:w="1860" w:type="dxa"/>
            <w:tcMar>
              <w:top w:w="0" w:type="dxa"/>
              <w:bottom w:w="0" w:type="dxa"/>
            </w:tcMar>
            <w:vAlign w:val="center"/>
          </w:tcPr>
          <w:p w14:paraId="4A1D5E66" w14:textId="77777777" w:rsidR="00BF5D04" w:rsidRDefault="00000000">
            <w:pPr>
              <w:keepNext/>
              <w:keepLines/>
              <w:spacing w:after="0" w:line="240" w:lineRule="auto"/>
              <w:jc w:val="right"/>
            </w:pPr>
            <w:r>
              <w:rPr>
                <w:sz w:val="18"/>
              </w:rPr>
              <w:t>3.232.746,34</w:t>
            </w:r>
          </w:p>
        </w:tc>
        <w:tc>
          <w:tcPr>
            <w:tcW w:w="700" w:type="dxa"/>
            <w:tcMar>
              <w:top w:w="0" w:type="dxa"/>
              <w:bottom w:w="0" w:type="dxa"/>
            </w:tcMar>
            <w:vAlign w:val="center"/>
          </w:tcPr>
          <w:p w14:paraId="63BB3D81" w14:textId="77777777" w:rsidR="00BF5D04" w:rsidRDefault="00000000">
            <w:pPr>
              <w:keepNext/>
              <w:keepLines/>
              <w:spacing w:after="0" w:line="240" w:lineRule="auto"/>
              <w:jc w:val="right"/>
            </w:pPr>
            <w:r>
              <w:rPr>
                <w:sz w:val="18"/>
              </w:rPr>
              <w:t>114,6</w:t>
            </w:r>
          </w:p>
        </w:tc>
      </w:tr>
    </w:tbl>
    <w:p w14:paraId="4ABDFA4B" w14:textId="77777777" w:rsidR="00BF5D04" w:rsidRDefault="00BF5D04">
      <w:pPr>
        <w:spacing w:after="0"/>
      </w:pPr>
    </w:p>
    <w:p w14:paraId="7537F140" w14:textId="77777777" w:rsidR="00BF5D04" w:rsidRDefault="00000000">
      <w:r>
        <w:t>Stavka je uvećana prvenstveno radi povećanja cijene Microsoft licenci u 2025. godini u odnosu na 2024.</w:t>
      </w:r>
    </w:p>
    <w:p w14:paraId="7E2F1490" w14:textId="77777777" w:rsidR="00BF5D04" w:rsidRDefault="00BF5D04"/>
    <w:p w14:paraId="6F34E34D" w14:textId="77777777" w:rsidR="00BF5D04" w:rsidRDefault="0000000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F5D04" w14:paraId="2A62F43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B00FF13" w14:textId="77777777" w:rsidR="00BF5D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04670B7" w14:textId="77777777" w:rsidR="00BF5D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95EFD24" w14:textId="77777777" w:rsidR="00BF5D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C220DB2" w14:textId="77777777" w:rsidR="00BF5D0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174214F" w14:textId="77777777" w:rsidR="00BF5D0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F2E9DA8" w14:textId="77777777" w:rsidR="00BF5D04" w:rsidRDefault="00000000">
            <w:pPr>
              <w:keepNext/>
              <w:keepLines/>
              <w:spacing w:after="0" w:line="240" w:lineRule="auto"/>
              <w:jc w:val="center"/>
            </w:pPr>
            <w:r>
              <w:rPr>
                <w:b/>
                <w:sz w:val="18"/>
              </w:rPr>
              <w:t>Indeks (%)</w:t>
            </w:r>
          </w:p>
        </w:tc>
      </w:tr>
      <w:tr w:rsidR="00BF5D04" w14:paraId="5E2A5B46" w14:textId="77777777">
        <w:tblPrEx>
          <w:tblCellMar>
            <w:top w:w="0" w:type="dxa"/>
            <w:bottom w:w="0" w:type="dxa"/>
          </w:tblCellMar>
        </w:tblPrEx>
        <w:trPr>
          <w:cantSplit/>
          <w:trHeight w:val="560"/>
        </w:trPr>
        <w:tc>
          <w:tcPr>
            <w:tcW w:w="700" w:type="dxa"/>
            <w:tcMar>
              <w:top w:w="0" w:type="dxa"/>
              <w:bottom w:w="0" w:type="dxa"/>
            </w:tcMar>
            <w:vAlign w:val="center"/>
          </w:tcPr>
          <w:p w14:paraId="313FFF68" w14:textId="77777777" w:rsidR="00BF5D04" w:rsidRDefault="00000000">
            <w:pPr>
              <w:keepNext/>
              <w:keepLines/>
              <w:spacing w:after="0" w:line="240" w:lineRule="auto"/>
            </w:pPr>
            <w:r>
              <w:rPr>
                <w:sz w:val="18"/>
              </w:rPr>
              <w:t>3236</w:t>
            </w:r>
          </w:p>
        </w:tc>
        <w:tc>
          <w:tcPr>
            <w:tcW w:w="3180" w:type="dxa"/>
            <w:tcMar>
              <w:top w:w="0" w:type="dxa"/>
              <w:bottom w:w="0" w:type="dxa"/>
            </w:tcMar>
            <w:vAlign w:val="center"/>
          </w:tcPr>
          <w:p w14:paraId="7F36044E" w14:textId="77777777" w:rsidR="00BF5D04" w:rsidRDefault="00000000">
            <w:pPr>
              <w:keepNext/>
              <w:keepLines/>
              <w:spacing w:after="0" w:line="240" w:lineRule="auto"/>
            </w:pPr>
            <w:r>
              <w:rPr>
                <w:sz w:val="18"/>
              </w:rPr>
              <w:t>Zdravstvene i veterinarske usluge</w:t>
            </w:r>
          </w:p>
        </w:tc>
        <w:tc>
          <w:tcPr>
            <w:tcW w:w="700" w:type="dxa"/>
            <w:tcMar>
              <w:top w:w="0" w:type="dxa"/>
              <w:bottom w:w="0" w:type="dxa"/>
            </w:tcMar>
            <w:vAlign w:val="center"/>
          </w:tcPr>
          <w:p w14:paraId="56502822" w14:textId="77777777" w:rsidR="00BF5D04" w:rsidRDefault="00000000">
            <w:pPr>
              <w:keepNext/>
              <w:keepLines/>
              <w:spacing w:after="0" w:line="240" w:lineRule="auto"/>
            </w:pPr>
            <w:r>
              <w:rPr>
                <w:sz w:val="18"/>
              </w:rPr>
              <w:t>3236</w:t>
            </w:r>
          </w:p>
        </w:tc>
        <w:tc>
          <w:tcPr>
            <w:tcW w:w="1860" w:type="dxa"/>
            <w:tcMar>
              <w:top w:w="0" w:type="dxa"/>
              <w:bottom w:w="0" w:type="dxa"/>
            </w:tcMar>
            <w:vAlign w:val="center"/>
          </w:tcPr>
          <w:p w14:paraId="5C208DAC" w14:textId="77777777" w:rsidR="00BF5D04" w:rsidRDefault="00000000">
            <w:pPr>
              <w:keepNext/>
              <w:keepLines/>
              <w:spacing w:after="0" w:line="240" w:lineRule="auto"/>
              <w:jc w:val="right"/>
            </w:pPr>
            <w:r>
              <w:rPr>
                <w:sz w:val="18"/>
              </w:rPr>
              <w:t>214.783,13</w:t>
            </w:r>
          </w:p>
        </w:tc>
        <w:tc>
          <w:tcPr>
            <w:tcW w:w="1860" w:type="dxa"/>
            <w:tcMar>
              <w:top w:w="0" w:type="dxa"/>
              <w:bottom w:w="0" w:type="dxa"/>
            </w:tcMar>
            <w:vAlign w:val="center"/>
          </w:tcPr>
          <w:p w14:paraId="67E7D9D9" w14:textId="77777777" w:rsidR="00BF5D04" w:rsidRDefault="00000000">
            <w:pPr>
              <w:keepNext/>
              <w:keepLines/>
              <w:spacing w:after="0" w:line="240" w:lineRule="auto"/>
              <w:jc w:val="right"/>
            </w:pPr>
            <w:r>
              <w:rPr>
                <w:sz w:val="18"/>
              </w:rPr>
              <w:t>61.144,31</w:t>
            </w:r>
          </w:p>
        </w:tc>
        <w:tc>
          <w:tcPr>
            <w:tcW w:w="700" w:type="dxa"/>
            <w:tcMar>
              <w:top w:w="0" w:type="dxa"/>
              <w:bottom w:w="0" w:type="dxa"/>
            </w:tcMar>
            <w:vAlign w:val="center"/>
          </w:tcPr>
          <w:p w14:paraId="449D35EB" w14:textId="77777777" w:rsidR="00BF5D04" w:rsidRDefault="00000000">
            <w:pPr>
              <w:keepNext/>
              <w:keepLines/>
              <w:spacing w:after="0" w:line="240" w:lineRule="auto"/>
              <w:jc w:val="right"/>
            </w:pPr>
            <w:r>
              <w:rPr>
                <w:sz w:val="18"/>
              </w:rPr>
              <w:t>28,5</w:t>
            </w:r>
          </w:p>
        </w:tc>
      </w:tr>
    </w:tbl>
    <w:p w14:paraId="19FC83A5" w14:textId="77777777" w:rsidR="00BF5D04" w:rsidRDefault="00BF5D04">
      <w:pPr>
        <w:spacing w:after="0"/>
      </w:pPr>
    </w:p>
    <w:p w14:paraId="0753040C" w14:textId="77777777" w:rsidR="00BF5D04" w:rsidRDefault="00000000">
      <w:r>
        <w:t>Stavka je smanjena u odnosu na prethodno izvještajno razdoblje, budući da su se u 2024. provodili sistematski pregledi za sve zaposlenike, dok su se u 2025. provodili sistematski samo za zaposlenike starije od 50 godina, a sukladno Temeljnom kolektivnom ugovoru za zaposlenike u javnim službama.</w:t>
      </w:r>
    </w:p>
    <w:p w14:paraId="16CEEF31" w14:textId="77777777" w:rsidR="00BF5D04" w:rsidRDefault="00BF5D04"/>
    <w:p w14:paraId="1BBAF26F" w14:textId="77777777" w:rsidR="00BF5D04"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F5D04" w14:paraId="3A19952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DF358AC" w14:textId="77777777" w:rsidR="00BF5D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B9DC236" w14:textId="77777777" w:rsidR="00BF5D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E3051AE" w14:textId="77777777" w:rsidR="00BF5D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EBA65A9" w14:textId="77777777" w:rsidR="00BF5D0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FDB0259" w14:textId="77777777" w:rsidR="00BF5D0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FF5F736" w14:textId="77777777" w:rsidR="00BF5D04" w:rsidRDefault="00000000">
            <w:pPr>
              <w:keepNext/>
              <w:keepLines/>
              <w:spacing w:after="0" w:line="240" w:lineRule="auto"/>
              <w:jc w:val="center"/>
            </w:pPr>
            <w:r>
              <w:rPr>
                <w:b/>
                <w:sz w:val="18"/>
              </w:rPr>
              <w:t>Indeks (%)</w:t>
            </w:r>
          </w:p>
        </w:tc>
      </w:tr>
      <w:tr w:rsidR="00BF5D04" w14:paraId="463C893E" w14:textId="77777777">
        <w:tblPrEx>
          <w:tblCellMar>
            <w:top w:w="0" w:type="dxa"/>
            <w:bottom w:w="0" w:type="dxa"/>
          </w:tblCellMar>
        </w:tblPrEx>
        <w:trPr>
          <w:cantSplit/>
          <w:trHeight w:val="560"/>
        </w:trPr>
        <w:tc>
          <w:tcPr>
            <w:tcW w:w="700" w:type="dxa"/>
            <w:tcMar>
              <w:top w:w="0" w:type="dxa"/>
              <w:bottom w:w="0" w:type="dxa"/>
            </w:tcMar>
            <w:vAlign w:val="center"/>
          </w:tcPr>
          <w:p w14:paraId="027BDE66" w14:textId="77777777" w:rsidR="00BF5D04" w:rsidRDefault="00000000">
            <w:pPr>
              <w:keepNext/>
              <w:keepLines/>
              <w:spacing w:after="0" w:line="240" w:lineRule="auto"/>
            </w:pPr>
            <w:r>
              <w:rPr>
                <w:sz w:val="18"/>
              </w:rPr>
              <w:t>3293</w:t>
            </w:r>
          </w:p>
        </w:tc>
        <w:tc>
          <w:tcPr>
            <w:tcW w:w="3180" w:type="dxa"/>
            <w:tcMar>
              <w:top w:w="0" w:type="dxa"/>
              <w:bottom w:w="0" w:type="dxa"/>
            </w:tcMar>
            <w:vAlign w:val="center"/>
          </w:tcPr>
          <w:p w14:paraId="650FB1BD" w14:textId="77777777" w:rsidR="00BF5D04" w:rsidRDefault="00000000">
            <w:pPr>
              <w:keepNext/>
              <w:keepLines/>
              <w:spacing w:after="0" w:line="240" w:lineRule="auto"/>
            </w:pPr>
            <w:r>
              <w:rPr>
                <w:sz w:val="18"/>
              </w:rPr>
              <w:t>Reprezentacija</w:t>
            </w:r>
          </w:p>
        </w:tc>
        <w:tc>
          <w:tcPr>
            <w:tcW w:w="700" w:type="dxa"/>
            <w:tcMar>
              <w:top w:w="0" w:type="dxa"/>
              <w:bottom w:w="0" w:type="dxa"/>
            </w:tcMar>
            <w:vAlign w:val="center"/>
          </w:tcPr>
          <w:p w14:paraId="262292D4" w14:textId="77777777" w:rsidR="00BF5D04" w:rsidRDefault="00000000">
            <w:pPr>
              <w:keepNext/>
              <w:keepLines/>
              <w:spacing w:after="0" w:line="240" w:lineRule="auto"/>
            </w:pPr>
            <w:r>
              <w:rPr>
                <w:sz w:val="18"/>
              </w:rPr>
              <w:t>3293</w:t>
            </w:r>
          </w:p>
        </w:tc>
        <w:tc>
          <w:tcPr>
            <w:tcW w:w="1860" w:type="dxa"/>
            <w:tcMar>
              <w:top w:w="0" w:type="dxa"/>
              <w:bottom w:w="0" w:type="dxa"/>
            </w:tcMar>
            <w:vAlign w:val="center"/>
          </w:tcPr>
          <w:p w14:paraId="1767A077" w14:textId="77777777" w:rsidR="00BF5D04" w:rsidRDefault="00000000">
            <w:pPr>
              <w:keepNext/>
              <w:keepLines/>
              <w:spacing w:after="0" w:line="240" w:lineRule="auto"/>
              <w:jc w:val="right"/>
            </w:pPr>
            <w:r>
              <w:rPr>
                <w:sz w:val="18"/>
              </w:rPr>
              <w:t>38.253,59</w:t>
            </w:r>
          </w:p>
        </w:tc>
        <w:tc>
          <w:tcPr>
            <w:tcW w:w="1860" w:type="dxa"/>
            <w:tcMar>
              <w:top w:w="0" w:type="dxa"/>
              <w:bottom w:w="0" w:type="dxa"/>
            </w:tcMar>
            <w:vAlign w:val="center"/>
          </w:tcPr>
          <w:p w14:paraId="7D83B9B6" w14:textId="77777777" w:rsidR="00BF5D04" w:rsidRDefault="00000000">
            <w:pPr>
              <w:keepNext/>
              <w:keepLines/>
              <w:spacing w:after="0" w:line="240" w:lineRule="auto"/>
              <w:jc w:val="right"/>
            </w:pPr>
            <w:r>
              <w:rPr>
                <w:sz w:val="18"/>
              </w:rPr>
              <w:t>56.331,57</w:t>
            </w:r>
          </w:p>
        </w:tc>
        <w:tc>
          <w:tcPr>
            <w:tcW w:w="700" w:type="dxa"/>
            <w:tcMar>
              <w:top w:w="0" w:type="dxa"/>
              <w:bottom w:w="0" w:type="dxa"/>
            </w:tcMar>
            <w:vAlign w:val="center"/>
          </w:tcPr>
          <w:p w14:paraId="41787C12" w14:textId="77777777" w:rsidR="00BF5D04" w:rsidRDefault="00000000">
            <w:pPr>
              <w:keepNext/>
              <w:keepLines/>
              <w:spacing w:after="0" w:line="240" w:lineRule="auto"/>
              <w:jc w:val="right"/>
            </w:pPr>
            <w:r>
              <w:rPr>
                <w:sz w:val="18"/>
              </w:rPr>
              <w:t>147,3</w:t>
            </w:r>
          </w:p>
        </w:tc>
      </w:tr>
    </w:tbl>
    <w:p w14:paraId="1B69ED09" w14:textId="77777777" w:rsidR="00BF5D04" w:rsidRDefault="00BF5D04">
      <w:pPr>
        <w:spacing w:after="0"/>
      </w:pPr>
    </w:p>
    <w:p w14:paraId="49B7401F" w14:textId="77777777" w:rsidR="00BF5D04" w:rsidRDefault="00000000">
      <w:r>
        <w:t>Prilikom održavanja većeg broja sastanaka i radionica u Središnjem uredu za ranjive skupine kao i za novozaposlene osobe, osigurani su manji obroci te piće za sudionike. Isto tako dio sredstava reprezentacije je korišten tijekom održavanja sajmova poslova.</w:t>
      </w:r>
    </w:p>
    <w:p w14:paraId="1623B48A" w14:textId="77777777" w:rsidR="00BF5D04" w:rsidRDefault="00BF5D04"/>
    <w:p w14:paraId="72D1CC59" w14:textId="77777777" w:rsidR="00BF5D04" w:rsidRDefault="00000000">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F5D04" w14:paraId="354429A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59977B4" w14:textId="77777777" w:rsidR="00BF5D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B921A85" w14:textId="77777777" w:rsidR="00BF5D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F1029F8" w14:textId="77777777" w:rsidR="00BF5D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A26FE23" w14:textId="77777777" w:rsidR="00BF5D0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4F065E7" w14:textId="77777777" w:rsidR="00BF5D0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581F296" w14:textId="77777777" w:rsidR="00BF5D04" w:rsidRDefault="00000000">
            <w:pPr>
              <w:keepNext/>
              <w:keepLines/>
              <w:spacing w:after="0" w:line="240" w:lineRule="auto"/>
              <w:jc w:val="center"/>
            </w:pPr>
            <w:r>
              <w:rPr>
                <w:b/>
                <w:sz w:val="18"/>
              </w:rPr>
              <w:t>Indeks (%)</w:t>
            </w:r>
          </w:p>
        </w:tc>
      </w:tr>
      <w:tr w:rsidR="00BF5D04" w14:paraId="10A5807F" w14:textId="77777777">
        <w:tblPrEx>
          <w:tblCellMar>
            <w:top w:w="0" w:type="dxa"/>
            <w:bottom w:w="0" w:type="dxa"/>
          </w:tblCellMar>
        </w:tblPrEx>
        <w:trPr>
          <w:cantSplit/>
          <w:trHeight w:val="560"/>
        </w:trPr>
        <w:tc>
          <w:tcPr>
            <w:tcW w:w="700" w:type="dxa"/>
            <w:tcMar>
              <w:top w:w="0" w:type="dxa"/>
              <w:bottom w:w="0" w:type="dxa"/>
            </w:tcMar>
            <w:vAlign w:val="center"/>
          </w:tcPr>
          <w:p w14:paraId="12FEB83F" w14:textId="77777777" w:rsidR="00BF5D04" w:rsidRDefault="00000000">
            <w:pPr>
              <w:keepNext/>
              <w:keepLines/>
              <w:spacing w:after="0" w:line="240" w:lineRule="auto"/>
            </w:pPr>
            <w:r>
              <w:rPr>
                <w:sz w:val="18"/>
              </w:rPr>
              <w:t>3296</w:t>
            </w:r>
          </w:p>
        </w:tc>
        <w:tc>
          <w:tcPr>
            <w:tcW w:w="3180" w:type="dxa"/>
            <w:tcMar>
              <w:top w:w="0" w:type="dxa"/>
              <w:bottom w:w="0" w:type="dxa"/>
            </w:tcMar>
            <w:vAlign w:val="center"/>
          </w:tcPr>
          <w:p w14:paraId="50EF14CA" w14:textId="77777777" w:rsidR="00BF5D04" w:rsidRDefault="00000000">
            <w:pPr>
              <w:keepNext/>
              <w:keepLines/>
              <w:spacing w:after="0" w:line="240" w:lineRule="auto"/>
            </w:pPr>
            <w:r>
              <w:rPr>
                <w:sz w:val="18"/>
              </w:rPr>
              <w:t>Troškovi sudskih postupaka</w:t>
            </w:r>
          </w:p>
        </w:tc>
        <w:tc>
          <w:tcPr>
            <w:tcW w:w="700" w:type="dxa"/>
            <w:tcMar>
              <w:top w:w="0" w:type="dxa"/>
              <w:bottom w:w="0" w:type="dxa"/>
            </w:tcMar>
            <w:vAlign w:val="center"/>
          </w:tcPr>
          <w:p w14:paraId="7EFD634B" w14:textId="77777777" w:rsidR="00BF5D04" w:rsidRDefault="00000000">
            <w:pPr>
              <w:keepNext/>
              <w:keepLines/>
              <w:spacing w:after="0" w:line="240" w:lineRule="auto"/>
            </w:pPr>
            <w:r>
              <w:rPr>
                <w:sz w:val="18"/>
              </w:rPr>
              <w:t>3296</w:t>
            </w:r>
          </w:p>
        </w:tc>
        <w:tc>
          <w:tcPr>
            <w:tcW w:w="1860" w:type="dxa"/>
            <w:tcMar>
              <w:top w:w="0" w:type="dxa"/>
              <w:bottom w:w="0" w:type="dxa"/>
            </w:tcMar>
            <w:vAlign w:val="center"/>
          </w:tcPr>
          <w:p w14:paraId="59D73340" w14:textId="77777777" w:rsidR="00BF5D04" w:rsidRDefault="00000000">
            <w:pPr>
              <w:keepNext/>
              <w:keepLines/>
              <w:spacing w:after="0" w:line="240" w:lineRule="auto"/>
              <w:jc w:val="right"/>
            </w:pPr>
            <w:r>
              <w:rPr>
                <w:sz w:val="18"/>
              </w:rPr>
              <w:t>27.330,04</w:t>
            </w:r>
          </w:p>
        </w:tc>
        <w:tc>
          <w:tcPr>
            <w:tcW w:w="1860" w:type="dxa"/>
            <w:tcMar>
              <w:top w:w="0" w:type="dxa"/>
              <w:bottom w:w="0" w:type="dxa"/>
            </w:tcMar>
            <w:vAlign w:val="center"/>
          </w:tcPr>
          <w:p w14:paraId="2FD5F398" w14:textId="77777777" w:rsidR="00BF5D04" w:rsidRDefault="00000000">
            <w:pPr>
              <w:keepNext/>
              <w:keepLines/>
              <w:spacing w:after="0" w:line="240" w:lineRule="auto"/>
              <w:jc w:val="right"/>
            </w:pPr>
            <w:r>
              <w:rPr>
                <w:sz w:val="18"/>
              </w:rPr>
              <w:t>48.815,75</w:t>
            </w:r>
          </w:p>
        </w:tc>
        <w:tc>
          <w:tcPr>
            <w:tcW w:w="700" w:type="dxa"/>
            <w:tcMar>
              <w:top w:w="0" w:type="dxa"/>
              <w:bottom w:w="0" w:type="dxa"/>
            </w:tcMar>
            <w:vAlign w:val="center"/>
          </w:tcPr>
          <w:p w14:paraId="3DEEE3CA" w14:textId="77777777" w:rsidR="00BF5D04" w:rsidRDefault="00000000">
            <w:pPr>
              <w:keepNext/>
              <w:keepLines/>
              <w:spacing w:after="0" w:line="240" w:lineRule="auto"/>
              <w:jc w:val="right"/>
            </w:pPr>
            <w:r>
              <w:rPr>
                <w:sz w:val="18"/>
              </w:rPr>
              <w:t>178,6</w:t>
            </w:r>
          </w:p>
        </w:tc>
      </w:tr>
    </w:tbl>
    <w:p w14:paraId="383F3FE2" w14:textId="77777777" w:rsidR="00BF5D04" w:rsidRDefault="00BF5D04">
      <w:pPr>
        <w:spacing w:after="0"/>
      </w:pPr>
    </w:p>
    <w:p w14:paraId="6D82A055" w14:textId="77777777" w:rsidR="00BF5D04" w:rsidRDefault="00000000">
      <w:r>
        <w:t>Stavka je uvećana prvenstveno zbog gubitka spora, gdje je Zavod naplatio svoje potraživanje po danom zajmu ranijih godina, ali je dodatnim revizijskim rješenjem presuđeno u korist korisnika zajma.</w:t>
      </w:r>
    </w:p>
    <w:p w14:paraId="474DD7E9" w14:textId="77777777" w:rsidR="00BF5D04" w:rsidRDefault="00BF5D04"/>
    <w:p w14:paraId="1060E961" w14:textId="77777777" w:rsidR="00BF5D04" w:rsidRDefault="0000000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F5D04" w14:paraId="6B8FC7C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0E5D8A5" w14:textId="77777777" w:rsidR="00BF5D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CB52ACD" w14:textId="77777777" w:rsidR="00BF5D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D37D3DE" w14:textId="77777777" w:rsidR="00BF5D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1C79383" w14:textId="77777777" w:rsidR="00BF5D0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072D457" w14:textId="77777777" w:rsidR="00BF5D0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048FFF2" w14:textId="77777777" w:rsidR="00BF5D04" w:rsidRDefault="00000000">
            <w:pPr>
              <w:keepNext/>
              <w:keepLines/>
              <w:spacing w:after="0" w:line="240" w:lineRule="auto"/>
              <w:jc w:val="center"/>
            </w:pPr>
            <w:r>
              <w:rPr>
                <w:b/>
                <w:sz w:val="18"/>
              </w:rPr>
              <w:t>Indeks (%)</w:t>
            </w:r>
          </w:p>
        </w:tc>
      </w:tr>
      <w:tr w:rsidR="00BF5D04" w14:paraId="6910AB6A" w14:textId="77777777">
        <w:tblPrEx>
          <w:tblCellMar>
            <w:top w:w="0" w:type="dxa"/>
            <w:bottom w:w="0" w:type="dxa"/>
          </w:tblCellMar>
        </w:tblPrEx>
        <w:trPr>
          <w:cantSplit/>
          <w:trHeight w:val="560"/>
        </w:trPr>
        <w:tc>
          <w:tcPr>
            <w:tcW w:w="700" w:type="dxa"/>
            <w:tcMar>
              <w:top w:w="0" w:type="dxa"/>
              <w:bottom w:w="0" w:type="dxa"/>
            </w:tcMar>
            <w:vAlign w:val="center"/>
          </w:tcPr>
          <w:p w14:paraId="05F0B1A2" w14:textId="77777777" w:rsidR="00BF5D04" w:rsidRDefault="00000000">
            <w:pPr>
              <w:keepNext/>
              <w:keepLines/>
              <w:spacing w:after="0" w:line="240" w:lineRule="auto"/>
            </w:pPr>
            <w:r>
              <w:rPr>
                <w:sz w:val="18"/>
              </w:rPr>
              <w:t>3431</w:t>
            </w:r>
          </w:p>
        </w:tc>
        <w:tc>
          <w:tcPr>
            <w:tcW w:w="3180" w:type="dxa"/>
            <w:tcMar>
              <w:top w:w="0" w:type="dxa"/>
              <w:bottom w:w="0" w:type="dxa"/>
            </w:tcMar>
            <w:vAlign w:val="center"/>
          </w:tcPr>
          <w:p w14:paraId="7DDB4321" w14:textId="77777777" w:rsidR="00BF5D04" w:rsidRDefault="00000000">
            <w:pPr>
              <w:keepNext/>
              <w:keepLines/>
              <w:spacing w:after="0" w:line="240" w:lineRule="auto"/>
            </w:pPr>
            <w:r>
              <w:rPr>
                <w:sz w:val="18"/>
              </w:rPr>
              <w:t>Bankarske usluge i usluge platnog prometa</w:t>
            </w:r>
          </w:p>
        </w:tc>
        <w:tc>
          <w:tcPr>
            <w:tcW w:w="700" w:type="dxa"/>
            <w:tcMar>
              <w:top w:w="0" w:type="dxa"/>
              <w:bottom w:w="0" w:type="dxa"/>
            </w:tcMar>
            <w:vAlign w:val="center"/>
          </w:tcPr>
          <w:p w14:paraId="5FAB3A6E" w14:textId="77777777" w:rsidR="00BF5D04" w:rsidRDefault="00000000">
            <w:pPr>
              <w:keepNext/>
              <w:keepLines/>
              <w:spacing w:after="0" w:line="240" w:lineRule="auto"/>
            </w:pPr>
            <w:r>
              <w:rPr>
                <w:sz w:val="18"/>
              </w:rPr>
              <w:t>3431</w:t>
            </w:r>
          </w:p>
        </w:tc>
        <w:tc>
          <w:tcPr>
            <w:tcW w:w="1860" w:type="dxa"/>
            <w:tcMar>
              <w:top w:w="0" w:type="dxa"/>
              <w:bottom w:w="0" w:type="dxa"/>
            </w:tcMar>
            <w:vAlign w:val="center"/>
          </w:tcPr>
          <w:p w14:paraId="46ED6819" w14:textId="77777777" w:rsidR="00BF5D04" w:rsidRDefault="00000000">
            <w:pPr>
              <w:keepNext/>
              <w:keepLines/>
              <w:spacing w:after="0" w:line="240" w:lineRule="auto"/>
              <w:jc w:val="right"/>
            </w:pPr>
            <w:r>
              <w:rPr>
                <w:sz w:val="18"/>
              </w:rPr>
              <w:t>171.398,64</w:t>
            </w:r>
          </w:p>
        </w:tc>
        <w:tc>
          <w:tcPr>
            <w:tcW w:w="1860" w:type="dxa"/>
            <w:tcMar>
              <w:top w:w="0" w:type="dxa"/>
              <w:bottom w:w="0" w:type="dxa"/>
            </w:tcMar>
            <w:vAlign w:val="center"/>
          </w:tcPr>
          <w:p w14:paraId="1CBF74A1" w14:textId="77777777" w:rsidR="00BF5D04" w:rsidRDefault="00000000">
            <w:pPr>
              <w:keepNext/>
              <w:keepLines/>
              <w:spacing w:after="0" w:line="240" w:lineRule="auto"/>
              <w:jc w:val="right"/>
            </w:pPr>
            <w:r>
              <w:rPr>
                <w:sz w:val="18"/>
              </w:rPr>
              <w:t>201.538,39</w:t>
            </w:r>
          </w:p>
        </w:tc>
        <w:tc>
          <w:tcPr>
            <w:tcW w:w="700" w:type="dxa"/>
            <w:tcMar>
              <w:top w:w="0" w:type="dxa"/>
              <w:bottom w:w="0" w:type="dxa"/>
            </w:tcMar>
            <w:vAlign w:val="center"/>
          </w:tcPr>
          <w:p w14:paraId="77EA0D64" w14:textId="77777777" w:rsidR="00BF5D04" w:rsidRDefault="00000000">
            <w:pPr>
              <w:keepNext/>
              <w:keepLines/>
              <w:spacing w:after="0" w:line="240" w:lineRule="auto"/>
              <w:jc w:val="right"/>
            </w:pPr>
            <w:r>
              <w:rPr>
                <w:sz w:val="18"/>
              </w:rPr>
              <w:t>117,6</w:t>
            </w:r>
          </w:p>
        </w:tc>
      </w:tr>
    </w:tbl>
    <w:p w14:paraId="3F8CE58A" w14:textId="77777777" w:rsidR="00BF5D04" w:rsidRDefault="00BF5D04">
      <w:pPr>
        <w:spacing w:after="0"/>
      </w:pPr>
    </w:p>
    <w:p w14:paraId="1B4EA56B" w14:textId="77777777" w:rsidR="00BF5D04" w:rsidRDefault="00000000">
      <w:r>
        <w:t xml:space="preserve">Stavka je uvećana radi povećanja naknade Hrvatske poštanske banke za obavljanje </w:t>
      </w:r>
      <w:proofErr w:type="spellStart"/>
      <w:r>
        <w:t>komiosionih</w:t>
      </w:r>
      <w:proofErr w:type="spellEnd"/>
      <w:r>
        <w:t xml:space="preserve"> bankarskih poslova.</w:t>
      </w:r>
    </w:p>
    <w:p w14:paraId="332CBBE2" w14:textId="77777777" w:rsidR="00BF5D04" w:rsidRDefault="00BF5D04"/>
    <w:p w14:paraId="5630A7EA" w14:textId="77777777" w:rsidR="00BF5D04" w:rsidRDefault="0000000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F5D04" w14:paraId="50BE062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3A69B8B" w14:textId="77777777" w:rsidR="00BF5D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9A9EDAD" w14:textId="77777777" w:rsidR="00BF5D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70FD8F2" w14:textId="77777777" w:rsidR="00BF5D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602803F" w14:textId="77777777" w:rsidR="00BF5D0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8FEE3E7" w14:textId="77777777" w:rsidR="00BF5D0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579E7CA" w14:textId="77777777" w:rsidR="00BF5D04" w:rsidRDefault="00000000">
            <w:pPr>
              <w:keepNext/>
              <w:keepLines/>
              <w:spacing w:after="0" w:line="240" w:lineRule="auto"/>
              <w:jc w:val="center"/>
            </w:pPr>
            <w:r>
              <w:rPr>
                <w:b/>
                <w:sz w:val="18"/>
              </w:rPr>
              <w:t>Indeks (%)</w:t>
            </w:r>
          </w:p>
        </w:tc>
      </w:tr>
      <w:tr w:rsidR="00BF5D04" w14:paraId="45511DAB" w14:textId="77777777">
        <w:tblPrEx>
          <w:tblCellMar>
            <w:top w:w="0" w:type="dxa"/>
            <w:bottom w:w="0" w:type="dxa"/>
          </w:tblCellMar>
        </w:tblPrEx>
        <w:trPr>
          <w:cantSplit/>
          <w:trHeight w:val="560"/>
        </w:trPr>
        <w:tc>
          <w:tcPr>
            <w:tcW w:w="700" w:type="dxa"/>
            <w:tcMar>
              <w:top w:w="0" w:type="dxa"/>
              <w:bottom w:w="0" w:type="dxa"/>
            </w:tcMar>
            <w:vAlign w:val="center"/>
          </w:tcPr>
          <w:p w14:paraId="24FFC55D" w14:textId="77777777" w:rsidR="00BF5D04" w:rsidRDefault="00000000">
            <w:pPr>
              <w:keepNext/>
              <w:keepLines/>
              <w:spacing w:after="0" w:line="240" w:lineRule="auto"/>
            </w:pPr>
            <w:r>
              <w:rPr>
                <w:sz w:val="18"/>
              </w:rPr>
              <w:t>36</w:t>
            </w:r>
          </w:p>
        </w:tc>
        <w:tc>
          <w:tcPr>
            <w:tcW w:w="3180" w:type="dxa"/>
            <w:tcMar>
              <w:top w:w="0" w:type="dxa"/>
              <w:bottom w:w="0" w:type="dxa"/>
            </w:tcMar>
            <w:vAlign w:val="center"/>
          </w:tcPr>
          <w:p w14:paraId="03435289" w14:textId="77777777" w:rsidR="00BF5D04" w:rsidRDefault="00000000">
            <w:pPr>
              <w:keepNext/>
              <w:keepLines/>
              <w:spacing w:after="0" w:line="240" w:lineRule="auto"/>
            </w:pPr>
            <w:r>
              <w:rPr>
                <w:sz w:val="18"/>
              </w:rPr>
              <w:t>Pomoći dane u inozemstvo i unutar općeg proračuna (šifre 361+362+363+365+366+367+368+369)</w:t>
            </w:r>
          </w:p>
        </w:tc>
        <w:tc>
          <w:tcPr>
            <w:tcW w:w="700" w:type="dxa"/>
            <w:tcMar>
              <w:top w:w="0" w:type="dxa"/>
              <w:bottom w:w="0" w:type="dxa"/>
            </w:tcMar>
            <w:vAlign w:val="center"/>
          </w:tcPr>
          <w:p w14:paraId="48C20BC4" w14:textId="77777777" w:rsidR="00BF5D04" w:rsidRDefault="00000000">
            <w:pPr>
              <w:keepNext/>
              <w:keepLines/>
              <w:spacing w:after="0" w:line="240" w:lineRule="auto"/>
            </w:pPr>
            <w:r>
              <w:rPr>
                <w:sz w:val="18"/>
              </w:rPr>
              <w:t>36</w:t>
            </w:r>
          </w:p>
        </w:tc>
        <w:tc>
          <w:tcPr>
            <w:tcW w:w="1860" w:type="dxa"/>
            <w:tcMar>
              <w:top w:w="0" w:type="dxa"/>
              <w:bottom w:w="0" w:type="dxa"/>
            </w:tcMar>
            <w:vAlign w:val="center"/>
          </w:tcPr>
          <w:p w14:paraId="574A284F" w14:textId="77777777" w:rsidR="00BF5D04" w:rsidRDefault="00000000">
            <w:pPr>
              <w:keepNext/>
              <w:keepLines/>
              <w:spacing w:after="0" w:line="240" w:lineRule="auto"/>
              <w:jc w:val="right"/>
            </w:pPr>
            <w:r>
              <w:rPr>
                <w:sz w:val="18"/>
              </w:rPr>
              <w:t>20.721.010,53</w:t>
            </w:r>
          </w:p>
        </w:tc>
        <w:tc>
          <w:tcPr>
            <w:tcW w:w="1860" w:type="dxa"/>
            <w:tcMar>
              <w:top w:w="0" w:type="dxa"/>
              <w:bottom w:w="0" w:type="dxa"/>
            </w:tcMar>
            <w:vAlign w:val="center"/>
          </w:tcPr>
          <w:p w14:paraId="52F941D4" w14:textId="77777777" w:rsidR="00BF5D04" w:rsidRDefault="00000000">
            <w:pPr>
              <w:keepNext/>
              <w:keepLines/>
              <w:spacing w:after="0" w:line="240" w:lineRule="auto"/>
              <w:jc w:val="right"/>
            </w:pPr>
            <w:r>
              <w:rPr>
                <w:sz w:val="18"/>
              </w:rPr>
              <w:t>9.437.078,17</w:t>
            </w:r>
          </w:p>
        </w:tc>
        <w:tc>
          <w:tcPr>
            <w:tcW w:w="700" w:type="dxa"/>
            <w:tcMar>
              <w:top w:w="0" w:type="dxa"/>
              <w:bottom w:w="0" w:type="dxa"/>
            </w:tcMar>
            <w:vAlign w:val="center"/>
          </w:tcPr>
          <w:p w14:paraId="3F5F47C5" w14:textId="77777777" w:rsidR="00BF5D04" w:rsidRDefault="00000000">
            <w:pPr>
              <w:keepNext/>
              <w:keepLines/>
              <w:spacing w:after="0" w:line="240" w:lineRule="auto"/>
              <w:jc w:val="right"/>
            </w:pPr>
            <w:r>
              <w:rPr>
                <w:sz w:val="18"/>
              </w:rPr>
              <w:t>45,5</w:t>
            </w:r>
          </w:p>
        </w:tc>
      </w:tr>
    </w:tbl>
    <w:p w14:paraId="53EBFF70" w14:textId="77777777" w:rsidR="00BF5D04" w:rsidRDefault="00BF5D04">
      <w:pPr>
        <w:spacing w:after="0"/>
      </w:pPr>
    </w:p>
    <w:p w14:paraId="1FB34F1F" w14:textId="77777777" w:rsidR="00BF5D04" w:rsidRDefault="00000000">
      <w:r>
        <w:t xml:space="preserve">Na </w:t>
      </w:r>
      <w:proofErr w:type="spellStart"/>
      <w:r>
        <w:t>stavco</w:t>
      </w:r>
      <w:proofErr w:type="spellEnd"/>
      <w:r>
        <w:t xml:space="preserve"> </w:t>
      </w:r>
      <w:r>
        <w:rPr>
          <w:i/>
        </w:rPr>
        <w:t>36 -  Pomoći dane u inozemstvo i unutar općeg proračuna</w:t>
      </w:r>
      <w:r>
        <w:t xml:space="preserve">   evidentirano je znatno smanjenje što je je prvenstveno rezultat ukidanja mjere ˝Potpore za pripravništvo u javnom sektoru˝ koje se u tekućoj godini nije provodilo; provela su se samo plaćanja obveza iz 2024. godine</w:t>
      </w:r>
    </w:p>
    <w:p w14:paraId="3CEF0D29" w14:textId="77777777" w:rsidR="00BF5D04" w:rsidRDefault="00BF5D04"/>
    <w:p w14:paraId="39D8C0E0" w14:textId="77777777" w:rsidR="00BF5D04" w:rsidRDefault="00000000">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F5D04" w14:paraId="38E2AC7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B6C2931" w14:textId="77777777" w:rsidR="00BF5D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F751226" w14:textId="77777777" w:rsidR="00BF5D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945EB03" w14:textId="77777777" w:rsidR="00BF5D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A559634" w14:textId="77777777" w:rsidR="00BF5D0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07000A3" w14:textId="77777777" w:rsidR="00BF5D0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3D54C73" w14:textId="77777777" w:rsidR="00BF5D04" w:rsidRDefault="00000000">
            <w:pPr>
              <w:keepNext/>
              <w:keepLines/>
              <w:spacing w:after="0" w:line="240" w:lineRule="auto"/>
              <w:jc w:val="center"/>
            </w:pPr>
            <w:r>
              <w:rPr>
                <w:b/>
                <w:sz w:val="18"/>
              </w:rPr>
              <w:t>Indeks (%)</w:t>
            </w:r>
          </w:p>
        </w:tc>
      </w:tr>
      <w:tr w:rsidR="00BF5D04" w14:paraId="37ABB974" w14:textId="77777777">
        <w:tblPrEx>
          <w:tblCellMar>
            <w:top w:w="0" w:type="dxa"/>
            <w:bottom w:w="0" w:type="dxa"/>
          </w:tblCellMar>
        </w:tblPrEx>
        <w:trPr>
          <w:cantSplit/>
          <w:trHeight w:val="560"/>
        </w:trPr>
        <w:tc>
          <w:tcPr>
            <w:tcW w:w="700" w:type="dxa"/>
            <w:tcMar>
              <w:top w:w="0" w:type="dxa"/>
              <w:bottom w:w="0" w:type="dxa"/>
            </w:tcMar>
            <w:vAlign w:val="center"/>
          </w:tcPr>
          <w:p w14:paraId="6AFE74FE" w14:textId="77777777" w:rsidR="00BF5D04" w:rsidRDefault="00000000">
            <w:pPr>
              <w:keepNext/>
              <w:keepLines/>
              <w:spacing w:after="0" w:line="240" w:lineRule="auto"/>
            </w:pPr>
            <w:r>
              <w:rPr>
                <w:sz w:val="18"/>
              </w:rPr>
              <w:t>3711</w:t>
            </w:r>
          </w:p>
        </w:tc>
        <w:tc>
          <w:tcPr>
            <w:tcW w:w="3180" w:type="dxa"/>
            <w:tcMar>
              <w:top w:w="0" w:type="dxa"/>
              <w:bottom w:w="0" w:type="dxa"/>
            </w:tcMar>
            <w:vAlign w:val="center"/>
          </w:tcPr>
          <w:p w14:paraId="3EDB1D79" w14:textId="77777777" w:rsidR="00BF5D04" w:rsidRDefault="00000000">
            <w:pPr>
              <w:keepNext/>
              <w:keepLines/>
              <w:spacing w:after="0" w:line="240" w:lineRule="auto"/>
            </w:pPr>
            <w:r>
              <w:rPr>
                <w:sz w:val="18"/>
              </w:rPr>
              <w:t>Naknade građanima i kućanstvima u novcu - neposredno ili putem ustanova izvan javnog sektora</w:t>
            </w:r>
          </w:p>
        </w:tc>
        <w:tc>
          <w:tcPr>
            <w:tcW w:w="700" w:type="dxa"/>
            <w:tcMar>
              <w:top w:w="0" w:type="dxa"/>
              <w:bottom w:w="0" w:type="dxa"/>
            </w:tcMar>
            <w:vAlign w:val="center"/>
          </w:tcPr>
          <w:p w14:paraId="770685B1" w14:textId="77777777" w:rsidR="00BF5D04" w:rsidRDefault="00000000">
            <w:pPr>
              <w:keepNext/>
              <w:keepLines/>
              <w:spacing w:after="0" w:line="240" w:lineRule="auto"/>
            </w:pPr>
            <w:r>
              <w:rPr>
                <w:sz w:val="18"/>
              </w:rPr>
              <w:t>3711</w:t>
            </w:r>
          </w:p>
        </w:tc>
        <w:tc>
          <w:tcPr>
            <w:tcW w:w="1860" w:type="dxa"/>
            <w:tcMar>
              <w:top w:w="0" w:type="dxa"/>
              <w:bottom w:w="0" w:type="dxa"/>
            </w:tcMar>
            <w:vAlign w:val="center"/>
          </w:tcPr>
          <w:p w14:paraId="5043D63B" w14:textId="77777777" w:rsidR="00BF5D04" w:rsidRDefault="00000000">
            <w:pPr>
              <w:keepNext/>
              <w:keepLines/>
              <w:spacing w:after="0" w:line="240" w:lineRule="auto"/>
              <w:jc w:val="right"/>
            </w:pPr>
            <w:r>
              <w:rPr>
                <w:sz w:val="18"/>
              </w:rPr>
              <w:t>137.811.553,90</w:t>
            </w:r>
          </w:p>
        </w:tc>
        <w:tc>
          <w:tcPr>
            <w:tcW w:w="1860" w:type="dxa"/>
            <w:tcMar>
              <w:top w:w="0" w:type="dxa"/>
              <w:bottom w:w="0" w:type="dxa"/>
            </w:tcMar>
            <w:vAlign w:val="center"/>
          </w:tcPr>
          <w:p w14:paraId="557E63E2" w14:textId="77777777" w:rsidR="00BF5D04" w:rsidRDefault="00000000">
            <w:pPr>
              <w:keepNext/>
              <w:keepLines/>
              <w:spacing w:after="0" w:line="240" w:lineRule="auto"/>
              <w:jc w:val="right"/>
            </w:pPr>
            <w:r>
              <w:rPr>
                <w:sz w:val="18"/>
              </w:rPr>
              <w:t>185.670.349,69</w:t>
            </w:r>
          </w:p>
        </w:tc>
        <w:tc>
          <w:tcPr>
            <w:tcW w:w="700" w:type="dxa"/>
            <w:tcMar>
              <w:top w:w="0" w:type="dxa"/>
              <w:bottom w:w="0" w:type="dxa"/>
            </w:tcMar>
            <w:vAlign w:val="center"/>
          </w:tcPr>
          <w:p w14:paraId="6CCAB5C2" w14:textId="77777777" w:rsidR="00BF5D04" w:rsidRDefault="00000000">
            <w:pPr>
              <w:keepNext/>
              <w:keepLines/>
              <w:spacing w:after="0" w:line="240" w:lineRule="auto"/>
              <w:jc w:val="right"/>
            </w:pPr>
            <w:r>
              <w:rPr>
                <w:sz w:val="18"/>
              </w:rPr>
              <w:t>134,7</w:t>
            </w:r>
          </w:p>
        </w:tc>
      </w:tr>
    </w:tbl>
    <w:p w14:paraId="51F67939" w14:textId="77777777" w:rsidR="00BF5D04" w:rsidRDefault="00BF5D04">
      <w:pPr>
        <w:spacing w:after="0"/>
      </w:pPr>
    </w:p>
    <w:p w14:paraId="779550A0" w14:textId="77777777" w:rsidR="00BF5D04" w:rsidRDefault="00000000">
      <w:r>
        <w:lastRenderedPageBreak/>
        <w:t>U odnosu na prethodnu godinu ova stavka je znatno uvećana prvenstveno zbog snažnog rasta naknada nezaposlenima uzrokovanog izmjenama uvjeta za ostvarivanje prava kojim se povećala osnovica za obračun naknade nakon 90 dana i ublažavanjem kriterija za ostvarivanje prava mladim osobama. Također se značajna povećanja bilježe i na rashodima za troškove obrazovanja i osposobljavanja kako nezaposlenih, tako i zaposlenih osoba.</w:t>
      </w:r>
    </w:p>
    <w:p w14:paraId="364310EC" w14:textId="77777777" w:rsidR="00BF5D04" w:rsidRDefault="00BF5D04"/>
    <w:p w14:paraId="45ECFEE2" w14:textId="77777777" w:rsidR="00BF5D04" w:rsidRDefault="00000000">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F5D04" w14:paraId="0D1DCE6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FFAF314" w14:textId="77777777" w:rsidR="00BF5D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94C0AFA" w14:textId="77777777" w:rsidR="00BF5D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54DE1F4" w14:textId="77777777" w:rsidR="00BF5D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7E20BE9" w14:textId="77777777" w:rsidR="00BF5D0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5EF9AF2" w14:textId="77777777" w:rsidR="00BF5D0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41823AF" w14:textId="77777777" w:rsidR="00BF5D04" w:rsidRDefault="00000000">
            <w:pPr>
              <w:keepNext/>
              <w:keepLines/>
              <w:spacing w:after="0" w:line="240" w:lineRule="auto"/>
              <w:jc w:val="center"/>
            </w:pPr>
            <w:r>
              <w:rPr>
                <w:b/>
                <w:sz w:val="18"/>
              </w:rPr>
              <w:t>Indeks (%)</w:t>
            </w:r>
          </w:p>
        </w:tc>
      </w:tr>
      <w:tr w:rsidR="00BF5D04" w14:paraId="58174B06" w14:textId="77777777">
        <w:tblPrEx>
          <w:tblCellMar>
            <w:top w:w="0" w:type="dxa"/>
            <w:bottom w:w="0" w:type="dxa"/>
          </w:tblCellMar>
        </w:tblPrEx>
        <w:trPr>
          <w:cantSplit/>
          <w:trHeight w:val="560"/>
        </w:trPr>
        <w:tc>
          <w:tcPr>
            <w:tcW w:w="700" w:type="dxa"/>
            <w:tcMar>
              <w:top w:w="0" w:type="dxa"/>
              <w:bottom w:w="0" w:type="dxa"/>
            </w:tcMar>
            <w:vAlign w:val="center"/>
          </w:tcPr>
          <w:p w14:paraId="4B836F53" w14:textId="77777777" w:rsidR="00BF5D04" w:rsidRDefault="00000000">
            <w:pPr>
              <w:keepNext/>
              <w:keepLines/>
              <w:spacing w:after="0" w:line="240" w:lineRule="auto"/>
            </w:pPr>
            <w:r>
              <w:rPr>
                <w:sz w:val="18"/>
              </w:rPr>
              <w:t>3721</w:t>
            </w:r>
          </w:p>
        </w:tc>
        <w:tc>
          <w:tcPr>
            <w:tcW w:w="3180" w:type="dxa"/>
            <w:tcMar>
              <w:top w:w="0" w:type="dxa"/>
              <w:bottom w:w="0" w:type="dxa"/>
            </w:tcMar>
            <w:vAlign w:val="center"/>
          </w:tcPr>
          <w:p w14:paraId="0C52A84F" w14:textId="77777777" w:rsidR="00BF5D04" w:rsidRDefault="00000000">
            <w:pPr>
              <w:keepNext/>
              <w:keepLines/>
              <w:spacing w:after="0" w:line="240" w:lineRule="auto"/>
            </w:pPr>
            <w:r>
              <w:rPr>
                <w:sz w:val="18"/>
              </w:rPr>
              <w:t>Naknade građanima i kućanstvima u novcu</w:t>
            </w:r>
          </w:p>
        </w:tc>
        <w:tc>
          <w:tcPr>
            <w:tcW w:w="700" w:type="dxa"/>
            <w:tcMar>
              <w:top w:w="0" w:type="dxa"/>
              <w:bottom w:w="0" w:type="dxa"/>
            </w:tcMar>
            <w:vAlign w:val="center"/>
          </w:tcPr>
          <w:p w14:paraId="5A0F9A6A" w14:textId="77777777" w:rsidR="00BF5D04" w:rsidRDefault="00000000">
            <w:pPr>
              <w:keepNext/>
              <w:keepLines/>
              <w:spacing w:after="0" w:line="240" w:lineRule="auto"/>
            </w:pPr>
            <w:r>
              <w:rPr>
                <w:sz w:val="18"/>
              </w:rPr>
              <w:t>3721</w:t>
            </w:r>
          </w:p>
        </w:tc>
        <w:tc>
          <w:tcPr>
            <w:tcW w:w="1860" w:type="dxa"/>
            <w:tcMar>
              <w:top w:w="0" w:type="dxa"/>
              <w:bottom w:w="0" w:type="dxa"/>
            </w:tcMar>
            <w:vAlign w:val="center"/>
          </w:tcPr>
          <w:p w14:paraId="23A3CBCC" w14:textId="77777777" w:rsidR="00BF5D04" w:rsidRDefault="00000000">
            <w:pPr>
              <w:keepNext/>
              <w:keepLines/>
              <w:spacing w:after="0" w:line="240" w:lineRule="auto"/>
              <w:jc w:val="right"/>
            </w:pPr>
            <w:r>
              <w:rPr>
                <w:sz w:val="18"/>
              </w:rPr>
              <w:t>6.363.933,34</w:t>
            </w:r>
          </w:p>
        </w:tc>
        <w:tc>
          <w:tcPr>
            <w:tcW w:w="1860" w:type="dxa"/>
            <w:tcMar>
              <w:top w:w="0" w:type="dxa"/>
              <w:bottom w:w="0" w:type="dxa"/>
            </w:tcMar>
            <w:vAlign w:val="center"/>
          </w:tcPr>
          <w:p w14:paraId="5DCE0B2D" w14:textId="77777777" w:rsidR="00BF5D04" w:rsidRDefault="00000000">
            <w:pPr>
              <w:keepNext/>
              <w:keepLines/>
              <w:spacing w:after="0" w:line="240" w:lineRule="auto"/>
              <w:jc w:val="right"/>
            </w:pPr>
            <w:r>
              <w:rPr>
                <w:sz w:val="18"/>
              </w:rPr>
              <w:t>2.103.963,41</w:t>
            </w:r>
          </w:p>
        </w:tc>
        <w:tc>
          <w:tcPr>
            <w:tcW w:w="700" w:type="dxa"/>
            <w:tcMar>
              <w:top w:w="0" w:type="dxa"/>
              <w:bottom w:w="0" w:type="dxa"/>
            </w:tcMar>
            <w:vAlign w:val="center"/>
          </w:tcPr>
          <w:p w14:paraId="448FB4C9" w14:textId="77777777" w:rsidR="00BF5D04" w:rsidRDefault="00000000">
            <w:pPr>
              <w:keepNext/>
              <w:keepLines/>
              <w:spacing w:after="0" w:line="240" w:lineRule="auto"/>
              <w:jc w:val="right"/>
            </w:pPr>
            <w:r>
              <w:rPr>
                <w:sz w:val="18"/>
              </w:rPr>
              <w:t>33,1</w:t>
            </w:r>
          </w:p>
        </w:tc>
      </w:tr>
    </w:tbl>
    <w:p w14:paraId="10A61460" w14:textId="77777777" w:rsidR="00BF5D04" w:rsidRDefault="00BF5D04">
      <w:pPr>
        <w:spacing w:after="0"/>
      </w:pPr>
    </w:p>
    <w:p w14:paraId="4E686FA1" w14:textId="77777777" w:rsidR="00BF5D04" w:rsidRDefault="00000000">
      <w:r>
        <w:t>Na ovoj stavci prvenstveno je bila evidentirana mjera obrazovanja iz sredstva Državnog proračuna te nacionalnog sufinanciranja (izvor 12)  iz ESF+. Budući da se mjera obrazovanje sada financira kroz sustav vaučera u okviru NPOO-a, odnosno izvora 581 i s računa 3723, stavka je znatno umanjena u odnosu na prethodno izvještajno razdoblje.</w:t>
      </w:r>
    </w:p>
    <w:p w14:paraId="178F5BA4" w14:textId="77777777" w:rsidR="00BF5D04" w:rsidRDefault="00BF5D04"/>
    <w:p w14:paraId="71BB687C" w14:textId="77777777" w:rsidR="00BF5D04" w:rsidRDefault="00000000">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F5D04" w14:paraId="63ECB9A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DA448F2" w14:textId="77777777" w:rsidR="00BF5D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28F34F8" w14:textId="77777777" w:rsidR="00BF5D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AEFEBC1" w14:textId="77777777" w:rsidR="00BF5D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13426E6" w14:textId="77777777" w:rsidR="00BF5D0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8C532F3" w14:textId="77777777" w:rsidR="00BF5D0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040759D" w14:textId="77777777" w:rsidR="00BF5D04" w:rsidRDefault="00000000">
            <w:pPr>
              <w:keepNext/>
              <w:keepLines/>
              <w:spacing w:after="0" w:line="240" w:lineRule="auto"/>
              <w:jc w:val="center"/>
            </w:pPr>
            <w:r>
              <w:rPr>
                <w:b/>
                <w:sz w:val="18"/>
              </w:rPr>
              <w:t>Indeks (%)</w:t>
            </w:r>
          </w:p>
        </w:tc>
      </w:tr>
      <w:tr w:rsidR="00BF5D04" w14:paraId="02311914" w14:textId="77777777">
        <w:tblPrEx>
          <w:tblCellMar>
            <w:top w:w="0" w:type="dxa"/>
            <w:bottom w:w="0" w:type="dxa"/>
          </w:tblCellMar>
        </w:tblPrEx>
        <w:trPr>
          <w:cantSplit/>
          <w:trHeight w:val="560"/>
        </w:trPr>
        <w:tc>
          <w:tcPr>
            <w:tcW w:w="700" w:type="dxa"/>
            <w:tcMar>
              <w:top w:w="0" w:type="dxa"/>
              <w:bottom w:w="0" w:type="dxa"/>
            </w:tcMar>
            <w:vAlign w:val="center"/>
          </w:tcPr>
          <w:p w14:paraId="0B9A8580" w14:textId="77777777" w:rsidR="00BF5D04" w:rsidRDefault="00000000">
            <w:pPr>
              <w:keepNext/>
              <w:keepLines/>
              <w:spacing w:after="0" w:line="240" w:lineRule="auto"/>
            </w:pPr>
            <w:r>
              <w:rPr>
                <w:sz w:val="18"/>
              </w:rPr>
              <w:t>3723</w:t>
            </w:r>
          </w:p>
        </w:tc>
        <w:tc>
          <w:tcPr>
            <w:tcW w:w="3180" w:type="dxa"/>
            <w:tcMar>
              <w:top w:w="0" w:type="dxa"/>
              <w:bottom w:w="0" w:type="dxa"/>
            </w:tcMar>
            <w:vAlign w:val="center"/>
          </w:tcPr>
          <w:p w14:paraId="42002677" w14:textId="77777777" w:rsidR="00BF5D04" w:rsidRDefault="00000000">
            <w:pPr>
              <w:keepNext/>
              <w:keepLines/>
              <w:spacing w:after="0" w:line="240" w:lineRule="auto"/>
            </w:pPr>
            <w:r>
              <w:rPr>
                <w:sz w:val="18"/>
              </w:rPr>
              <w:t>Naknade građanima i kućanstvima iz EU sredstava</w:t>
            </w:r>
          </w:p>
        </w:tc>
        <w:tc>
          <w:tcPr>
            <w:tcW w:w="700" w:type="dxa"/>
            <w:tcMar>
              <w:top w:w="0" w:type="dxa"/>
              <w:bottom w:w="0" w:type="dxa"/>
            </w:tcMar>
            <w:vAlign w:val="center"/>
          </w:tcPr>
          <w:p w14:paraId="1AD06818" w14:textId="77777777" w:rsidR="00BF5D04" w:rsidRDefault="00000000">
            <w:pPr>
              <w:keepNext/>
              <w:keepLines/>
              <w:spacing w:after="0" w:line="240" w:lineRule="auto"/>
            </w:pPr>
            <w:r>
              <w:rPr>
                <w:sz w:val="18"/>
              </w:rPr>
              <w:t>3723</w:t>
            </w:r>
          </w:p>
        </w:tc>
        <w:tc>
          <w:tcPr>
            <w:tcW w:w="1860" w:type="dxa"/>
            <w:tcMar>
              <w:top w:w="0" w:type="dxa"/>
              <w:bottom w:w="0" w:type="dxa"/>
            </w:tcMar>
            <w:vAlign w:val="center"/>
          </w:tcPr>
          <w:p w14:paraId="4836116C" w14:textId="77777777" w:rsidR="00BF5D04" w:rsidRDefault="00000000">
            <w:pPr>
              <w:keepNext/>
              <w:keepLines/>
              <w:spacing w:after="0" w:line="240" w:lineRule="auto"/>
              <w:jc w:val="right"/>
            </w:pPr>
            <w:r>
              <w:rPr>
                <w:sz w:val="18"/>
              </w:rPr>
              <w:t>12.630.028,96</w:t>
            </w:r>
          </w:p>
        </w:tc>
        <w:tc>
          <w:tcPr>
            <w:tcW w:w="1860" w:type="dxa"/>
            <w:tcMar>
              <w:top w:w="0" w:type="dxa"/>
              <w:bottom w:w="0" w:type="dxa"/>
            </w:tcMar>
            <w:vAlign w:val="center"/>
          </w:tcPr>
          <w:p w14:paraId="5D47389F" w14:textId="77777777" w:rsidR="00BF5D04" w:rsidRDefault="00000000">
            <w:pPr>
              <w:keepNext/>
              <w:keepLines/>
              <w:spacing w:after="0" w:line="240" w:lineRule="auto"/>
              <w:jc w:val="right"/>
            </w:pPr>
            <w:r>
              <w:rPr>
                <w:sz w:val="18"/>
              </w:rPr>
              <w:t>18.799.476,10</w:t>
            </w:r>
          </w:p>
        </w:tc>
        <w:tc>
          <w:tcPr>
            <w:tcW w:w="700" w:type="dxa"/>
            <w:tcMar>
              <w:top w:w="0" w:type="dxa"/>
              <w:bottom w:w="0" w:type="dxa"/>
            </w:tcMar>
            <w:vAlign w:val="center"/>
          </w:tcPr>
          <w:p w14:paraId="1054042E" w14:textId="77777777" w:rsidR="00BF5D04" w:rsidRDefault="00000000">
            <w:pPr>
              <w:keepNext/>
              <w:keepLines/>
              <w:spacing w:after="0" w:line="240" w:lineRule="auto"/>
              <w:jc w:val="right"/>
            </w:pPr>
            <w:r>
              <w:rPr>
                <w:sz w:val="18"/>
              </w:rPr>
              <w:t>148,8</w:t>
            </w:r>
          </w:p>
        </w:tc>
      </w:tr>
    </w:tbl>
    <w:p w14:paraId="309BC8DE" w14:textId="77777777" w:rsidR="00BF5D04" w:rsidRDefault="00BF5D04">
      <w:pPr>
        <w:spacing w:after="0"/>
      </w:pPr>
    </w:p>
    <w:p w14:paraId="6375B3C2" w14:textId="77777777" w:rsidR="00BF5D04" w:rsidRDefault="00000000">
      <w:r>
        <w:t>Na ovoj stavci je evidentiran trošak obrazovanja nezaposlenim i zaposlenim osobama kroz sustav vaučera. Isplate se provode obrazovnim institucijama, pružateljima usluge obrazovanja i to iz sredstava  Nacionalnog plana oporavka i otpornosti.</w:t>
      </w:r>
    </w:p>
    <w:p w14:paraId="357DF26B" w14:textId="77777777" w:rsidR="00BF5D04" w:rsidRDefault="00BF5D04"/>
    <w:p w14:paraId="3BC9BDA6" w14:textId="77777777" w:rsidR="00BF5D04" w:rsidRDefault="00000000">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F5D04" w14:paraId="1CAD6CD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57D6DC9" w14:textId="77777777" w:rsidR="00BF5D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7E981BF" w14:textId="77777777" w:rsidR="00BF5D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4237266" w14:textId="77777777" w:rsidR="00BF5D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EE89030" w14:textId="77777777" w:rsidR="00BF5D0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AF0792C" w14:textId="77777777" w:rsidR="00BF5D0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6657104" w14:textId="77777777" w:rsidR="00BF5D04" w:rsidRDefault="00000000">
            <w:pPr>
              <w:keepNext/>
              <w:keepLines/>
              <w:spacing w:after="0" w:line="240" w:lineRule="auto"/>
              <w:jc w:val="center"/>
            </w:pPr>
            <w:r>
              <w:rPr>
                <w:b/>
                <w:sz w:val="18"/>
              </w:rPr>
              <w:t>Indeks (%)</w:t>
            </w:r>
          </w:p>
        </w:tc>
      </w:tr>
      <w:tr w:rsidR="00BF5D04" w14:paraId="2B57388E" w14:textId="77777777">
        <w:tblPrEx>
          <w:tblCellMar>
            <w:top w:w="0" w:type="dxa"/>
            <w:bottom w:w="0" w:type="dxa"/>
          </w:tblCellMar>
        </w:tblPrEx>
        <w:trPr>
          <w:cantSplit/>
          <w:trHeight w:val="560"/>
        </w:trPr>
        <w:tc>
          <w:tcPr>
            <w:tcW w:w="700" w:type="dxa"/>
            <w:tcMar>
              <w:top w:w="0" w:type="dxa"/>
              <w:bottom w:w="0" w:type="dxa"/>
            </w:tcMar>
            <w:vAlign w:val="center"/>
          </w:tcPr>
          <w:p w14:paraId="4434308B" w14:textId="77777777" w:rsidR="00BF5D04" w:rsidRDefault="00000000">
            <w:pPr>
              <w:keepNext/>
              <w:keepLines/>
              <w:spacing w:after="0" w:line="240" w:lineRule="auto"/>
            </w:pPr>
            <w:r>
              <w:rPr>
                <w:sz w:val="18"/>
              </w:rPr>
              <w:t>3813</w:t>
            </w:r>
          </w:p>
        </w:tc>
        <w:tc>
          <w:tcPr>
            <w:tcW w:w="3180" w:type="dxa"/>
            <w:tcMar>
              <w:top w:w="0" w:type="dxa"/>
              <w:bottom w:w="0" w:type="dxa"/>
            </w:tcMar>
            <w:vAlign w:val="center"/>
          </w:tcPr>
          <w:p w14:paraId="21371B31" w14:textId="77777777" w:rsidR="00BF5D04" w:rsidRDefault="00000000">
            <w:pPr>
              <w:keepNext/>
              <w:keepLines/>
              <w:spacing w:after="0" w:line="240" w:lineRule="auto"/>
            </w:pPr>
            <w:r>
              <w:rPr>
                <w:sz w:val="18"/>
              </w:rPr>
              <w:t>Tekuće donacije iz EU sredstava</w:t>
            </w:r>
          </w:p>
        </w:tc>
        <w:tc>
          <w:tcPr>
            <w:tcW w:w="700" w:type="dxa"/>
            <w:tcMar>
              <w:top w:w="0" w:type="dxa"/>
              <w:bottom w:w="0" w:type="dxa"/>
            </w:tcMar>
            <w:vAlign w:val="center"/>
          </w:tcPr>
          <w:p w14:paraId="5A1AE058" w14:textId="77777777" w:rsidR="00BF5D04" w:rsidRDefault="00000000">
            <w:pPr>
              <w:keepNext/>
              <w:keepLines/>
              <w:spacing w:after="0" w:line="240" w:lineRule="auto"/>
            </w:pPr>
            <w:r>
              <w:rPr>
                <w:sz w:val="18"/>
              </w:rPr>
              <w:t>3813</w:t>
            </w:r>
          </w:p>
        </w:tc>
        <w:tc>
          <w:tcPr>
            <w:tcW w:w="1860" w:type="dxa"/>
            <w:tcMar>
              <w:top w:w="0" w:type="dxa"/>
              <w:bottom w:w="0" w:type="dxa"/>
            </w:tcMar>
            <w:vAlign w:val="center"/>
          </w:tcPr>
          <w:p w14:paraId="541D7CFD" w14:textId="77777777" w:rsidR="00BF5D04" w:rsidRDefault="00000000">
            <w:pPr>
              <w:keepNext/>
              <w:keepLines/>
              <w:spacing w:after="0" w:line="240" w:lineRule="auto"/>
              <w:jc w:val="right"/>
            </w:pPr>
            <w:r>
              <w:rPr>
                <w:sz w:val="18"/>
              </w:rPr>
              <w:t>351.979,70</w:t>
            </w:r>
          </w:p>
        </w:tc>
        <w:tc>
          <w:tcPr>
            <w:tcW w:w="1860" w:type="dxa"/>
            <w:tcMar>
              <w:top w:w="0" w:type="dxa"/>
              <w:bottom w:w="0" w:type="dxa"/>
            </w:tcMar>
            <w:vAlign w:val="center"/>
          </w:tcPr>
          <w:p w14:paraId="0A50DAC4" w14:textId="77777777" w:rsidR="00BF5D04" w:rsidRDefault="00000000">
            <w:pPr>
              <w:keepNext/>
              <w:keepLines/>
              <w:spacing w:after="0" w:line="240" w:lineRule="auto"/>
              <w:jc w:val="right"/>
            </w:pPr>
            <w:r>
              <w:rPr>
                <w:sz w:val="18"/>
              </w:rPr>
              <w:t>490.115,56</w:t>
            </w:r>
          </w:p>
        </w:tc>
        <w:tc>
          <w:tcPr>
            <w:tcW w:w="700" w:type="dxa"/>
            <w:tcMar>
              <w:top w:w="0" w:type="dxa"/>
              <w:bottom w:w="0" w:type="dxa"/>
            </w:tcMar>
            <w:vAlign w:val="center"/>
          </w:tcPr>
          <w:p w14:paraId="5AE55769" w14:textId="77777777" w:rsidR="00BF5D04" w:rsidRDefault="00000000">
            <w:pPr>
              <w:keepNext/>
              <w:keepLines/>
              <w:spacing w:after="0" w:line="240" w:lineRule="auto"/>
              <w:jc w:val="right"/>
            </w:pPr>
            <w:r>
              <w:rPr>
                <w:sz w:val="18"/>
              </w:rPr>
              <w:t>139,2</w:t>
            </w:r>
          </w:p>
        </w:tc>
      </w:tr>
    </w:tbl>
    <w:p w14:paraId="4C215828" w14:textId="77777777" w:rsidR="00BF5D04" w:rsidRDefault="00BF5D04">
      <w:pPr>
        <w:spacing w:after="0"/>
      </w:pPr>
    </w:p>
    <w:p w14:paraId="363FD5B1" w14:textId="77777777" w:rsidR="00BF5D04" w:rsidRDefault="00000000">
      <w:r>
        <w:t>Na ovoj stavci je evidentirana mjera, odnosno program POSAO+ financiran kroz Operativni program ESF+. Program je namijenjen ranjivim skupinama -  dugotrajno nezaposlenim osobama, korisnicima zajamčene minimalne naknade, osobama bez srednjoškolske kvalifikacije. U odnosu na prethodnu godinu povećanje je zabilježeno radi  šireg obuhvata ranjivih skupina u svim mjerama obuhvaćenima programom.</w:t>
      </w:r>
    </w:p>
    <w:p w14:paraId="49F5B500" w14:textId="77777777" w:rsidR="00BF5D04" w:rsidRDefault="00BF5D04"/>
    <w:p w14:paraId="722DA8B3" w14:textId="77777777" w:rsidR="00BF5D04" w:rsidRDefault="00000000">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F5D04" w14:paraId="2BB073B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CADC3DA" w14:textId="77777777" w:rsidR="00BF5D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13F6089" w14:textId="77777777" w:rsidR="00BF5D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7670F2F" w14:textId="77777777" w:rsidR="00BF5D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7BE4661" w14:textId="77777777" w:rsidR="00BF5D0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99EDBF1" w14:textId="77777777" w:rsidR="00BF5D0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E688B30" w14:textId="77777777" w:rsidR="00BF5D04" w:rsidRDefault="00000000">
            <w:pPr>
              <w:keepNext/>
              <w:keepLines/>
              <w:spacing w:after="0" w:line="240" w:lineRule="auto"/>
              <w:jc w:val="center"/>
            </w:pPr>
            <w:r>
              <w:rPr>
                <w:b/>
                <w:sz w:val="18"/>
              </w:rPr>
              <w:t>Indeks (%)</w:t>
            </w:r>
          </w:p>
        </w:tc>
      </w:tr>
      <w:tr w:rsidR="00BF5D04" w14:paraId="2B291C61" w14:textId="77777777">
        <w:tblPrEx>
          <w:tblCellMar>
            <w:top w:w="0" w:type="dxa"/>
            <w:bottom w:w="0" w:type="dxa"/>
          </w:tblCellMar>
        </w:tblPrEx>
        <w:trPr>
          <w:cantSplit/>
          <w:trHeight w:val="560"/>
        </w:trPr>
        <w:tc>
          <w:tcPr>
            <w:tcW w:w="700" w:type="dxa"/>
            <w:tcMar>
              <w:top w:w="0" w:type="dxa"/>
              <w:bottom w:w="0" w:type="dxa"/>
            </w:tcMar>
            <w:vAlign w:val="center"/>
          </w:tcPr>
          <w:p w14:paraId="2B545E65" w14:textId="77777777" w:rsidR="00BF5D04" w:rsidRDefault="00000000">
            <w:pPr>
              <w:keepNext/>
              <w:keepLines/>
              <w:spacing w:after="0" w:line="240" w:lineRule="auto"/>
            </w:pPr>
            <w:r>
              <w:rPr>
                <w:sz w:val="18"/>
              </w:rPr>
              <w:t>42</w:t>
            </w:r>
          </w:p>
        </w:tc>
        <w:tc>
          <w:tcPr>
            <w:tcW w:w="3180" w:type="dxa"/>
            <w:tcMar>
              <w:top w:w="0" w:type="dxa"/>
              <w:bottom w:w="0" w:type="dxa"/>
            </w:tcMar>
            <w:vAlign w:val="center"/>
          </w:tcPr>
          <w:p w14:paraId="5EB60887" w14:textId="77777777" w:rsidR="00BF5D04" w:rsidRDefault="00000000">
            <w:pPr>
              <w:keepNext/>
              <w:keepLines/>
              <w:spacing w:after="0" w:line="240" w:lineRule="auto"/>
            </w:pPr>
            <w:r>
              <w:rPr>
                <w:sz w:val="18"/>
              </w:rPr>
              <w:t>Rashodi za nabavu proizvedene dugotrajne imovine (šifre 421+422+423+424+425+426)</w:t>
            </w:r>
          </w:p>
        </w:tc>
        <w:tc>
          <w:tcPr>
            <w:tcW w:w="700" w:type="dxa"/>
            <w:tcMar>
              <w:top w:w="0" w:type="dxa"/>
              <w:bottom w:w="0" w:type="dxa"/>
            </w:tcMar>
            <w:vAlign w:val="center"/>
          </w:tcPr>
          <w:p w14:paraId="087219F5" w14:textId="77777777" w:rsidR="00BF5D04" w:rsidRDefault="00000000">
            <w:pPr>
              <w:keepNext/>
              <w:keepLines/>
              <w:spacing w:after="0" w:line="240" w:lineRule="auto"/>
            </w:pPr>
            <w:r>
              <w:rPr>
                <w:sz w:val="18"/>
              </w:rPr>
              <w:t>42</w:t>
            </w:r>
          </w:p>
        </w:tc>
        <w:tc>
          <w:tcPr>
            <w:tcW w:w="1860" w:type="dxa"/>
            <w:tcMar>
              <w:top w:w="0" w:type="dxa"/>
              <w:bottom w:w="0" w:type="dxa"/>
            </w:tcMar>
            <w:vAlign w:val="center"/>
          </w:tcPr>
          <w:p w14:paraId="1C5A8999" w14:textId="77777777" w:rsidR="00BF5D04" w:rsidRDefault="00000000">
            <w:pPr>
              <w:keepNext/>
              <w:keepLines/>
              <w:spacing w:after="0" w:line="240" w:lineRule="auto"/>
              <w:jc w:val="right"/>
            </w:pPr>
            <w:r>
              <w:rPr>
                <w:sz w:val="18"/>
              </w:rPr>
              <w:t>2.048.172,56</w:t>
            </w:r>
          </w:p>
        </w:tc>
        <w:tc>
          <w:tcPr>
            <w:tcW w:w="1860" w:type="dxa"/>
            <w:tcMar>
              <w:top w:w="0" w:type="dxa"/>
              <w:bottom w:w="0" w:type="dxa"/>
            </w:tcMar>
            <w:vAlign w:val="center"/>
          </w:tcPr>
          <w:p w14:paraId="585D71E5" w14:textId="77777777" w:rsidR="00BF5D04" w:rsidRDefault="00000000">
            <w:pPr>
              <w:keepNext/>
              <w:keepLines/>
              <w:spacing w:after="0" w:line="240" w:lineRule="auto"/>
              <w:jc w:val="right"/>
            </w:pPr>
            <w:r>
              <w:rPr>
                <w:sz w:val="18"/>
              </w:rPr>
              <w:t>687.368,46</w:t>
            </w:r>
          </w:p>
        </w:tc>
        <w:tc>
          <w:tcPr>
            <w:tcW w:w="700" w:type="dxa"/>
            <w:tcMar>
              <w:top w:w="0" w:type="dxa"/>
              <w:bottom w:w="0" w:type="dxa"/>
            </w:tcMar>
            <w:vAlign w:val="center"/>
          </w:tcPr>
          <w:p w14:paraId="13E74AB1" w14:textId="77777777" w:rsidR="00BF5D04" w:rsidRDefault="00000000">
            <w:pPr>
              <w:keepNext/>
              <w:keepLines/>
              <w:spacing w:after="0" w:line="240" w:lineRule="auto"/>
              <w:jc w:val="right"/>
            </w:pPr>
            <w:r>
              <w:rPr>
                <w:sz w:val="18"/>
              </w:rPr>
              <w:t>33,6</w:t>
            </w:r>
          </w:p>
        </w:tc>
      </w:tr>
    </w:tbl>
    <w:p w14:paraId="633271EE" w14:textId="77777777" w:rsidR="00BF5D04" w:rsidRDefault="00BF5D04">
      <w:pPr>
        <w:spacing w:after="0"/>
      </w:pPr>
    </w:p>
    <w:p w14:paraId="2149963F" w14:textId="77777777" w:rsidR="00BF5D04" w:rsidRDefault="00000000">
      <w:r>
        <w:t>Stavka je umanjena budući je prethodne godine bilo znatno više ulaganja u računalne programe financirane u sklopu Informatizacije i digitalizacije Hrvatskog zavoda za zapošljavanje </w:t>
      </w:r>
    </w:p>
    <w:p w14:paraId="1F15C01C" w14:textId="77777777" w:rsidR="00BF5D04" w:rsidRDefault="00BF5D04"/>
    <w:p w14:paraId="2077C81E" w14:textId="77777777" w:rsidR="00BF5D04" w:rsidRDefault="00000000">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F5D04" w14:paraId="3909B6A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E44E77D" w14:textId="77777777" w:rsidR="00BF5D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4716FEB" w14:textId="77777777" w:rsidR="00BF5D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EDF451E" w14:textId="77777777" w:rsidR="00BF5D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66B52F6" w14:textId="77777777" w:rsidR="00BF5D0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E5A70A6" w14:textId="77777777" w:rsidR="00BF5D0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EA05C83" w14:textId="77777777" w:rsidR="00BF5D04" w:rsidRDefault="00000000">
            <w:pPr>
              <w:keepNext/>
              <w:keepLines/>
              <w:spacing w:after="0" w:line="240" w:lineRule="auto"/>
              <w:jc w:val="center"/>
            </w:pPr>
            <w:r>
              <w:rPr>
                <w:b/>
                <w:sz w:val="18"/>
              </w:rPr>
              <w:t>Indeks (%)</w:t>
            </w:r>
          </w:p>
        </w:tc>
      </w:tr>
      <w:tr w:rsidR="00BF5D04" w14:paraId="0A4E5E7E" w14:textId="77777777">
        <w:tblPrEx>
          <w:tblCellMar>
            <w:top w:w="0" w:type="dxa"/>
            <w:bottom w:w="0" w:type="dxa"/>
          </w:tblCellMar>
        </w:tblPrEx>
        <w:trPr>
          <w:cantSplit/>
          <w:trHeight w:val="560"/>
        </w:trPr>
        <w:tc>
          <w:tcPr>
            <w:tcW w:w="700" w:type="dxa"/>
            <w:tcMar>
              <w:top w:w="0" w:type="dxa"/>
              <w:bottom w:w="0" w:type="dxa"/>
            </w:tcMar>
            <w:vAlign w:val="center"/>
          </w:tcPr>
          <w:p w14:paraId="44B0ECD3" w14:textId="77777777" w:rsidR="00BF5D04" w:rsidRDefault="00000000">
            <w:pPr>
              <w:keepNext/>
              <w:keepLines/>
              <w:spacing w:after="0" w:line="240" w:lineRule="auto"/>
            </w:pPr>
            <w:r>
              <w:rPr>
                <w:sz w:val="18"/>
              </w:rPr>
              <w:t>4223</w:t>
            </w:r>
          </w:p>
        </w:tc>
        <w:tc>
          <w:tcPr>
            <w:tcW w:w="3180" w:type="dxa"/>
            <w:tcMar>
              <w:top w:w="0" w:type="dxa"/>
              <w:bottom w:w="0" w:type="dxa"/>
            </w:tcMar>
            <w:vAlign w:val="center"/>
          </w:tcPr>
          <w:p w14:paraId="527A316B" w14:textId="77777777" w:rsidR="00BF5D04" w:rsidRDefault="00000000">
            <w:pPr>
              <w:keepNext/>
              <w:keepLines/>
              <w:spacing w:after="0" w:line="240" w:lineRule="auto"/>
            </w:pPr>
            <w:r>
              <w:rPr>
                <w:sz w:val="18"/>
              </w:rPr>
              <w:t>Oprema za održavanje i zaštitu</w:t>
            </w:r>
          </w:p>
        </w:tc>
        <w:tc>
          <w:tcPr>
            <w:tcW w:w="700" w:type="dxa"/>
            <w:tcMar>
              <w:top w:w="0" w:type="dxa"/>
              <w:bottom w:w="0" w:type="dxa"/>
            </w:tcMar>
            <w:vAlign w:val="center"/>
          </w:tcPr>
          <w:p w14:paraId="34C6BCC0" w14:textId="77777777" w:rsidR="00BF5D04" w:rsidRDefault="00000000">
            <w:pPr>
              <w:keepNext/>
              <w:keepLines/>
              <w:spacing w:after="0" w:line="240" w:lineRule="auto"/>
            </w:pPr>
            <w:r>
              <w:rPr>
                <w:sz w:val="18"/>
              </w:rPr>
              <w:t>4223</w:t>
            </w:r>
          </w:p>
        </w:tc>
        <w:tc>
          <w:tcPr>
            <w:tcW w:w="1860" w:type="dxa"/>
            <w:tcMar>
              <w:top w:w="0" w:type="dxa"/>
              <w:bottom w:w="0" w:type="dxa"/>
            </w:tcMar>
            <w:vAlign w:val="center"/>
          </w:tcPr>
          <w:p w14:paraId="4743D449" w14:textId="77777777" w:rsidR="00BF5D04" w:rsidRDefault="00000000">
            <w:pPr>
              <w:keepNext/>
              <w:keepLines/>
              <w:spacing w:after="0" w:line="240" w:lineRule="auto"/>
              <w:jc w:val="right"/>
            </w:pPr>
            <w:r>
              <w:rPr>
                <w:sz w:val="18"/>
              </w:rPr>
              <w:t>54.379,96</w:t>
            </w:r>
          </w:p>
        </w:tc>
        <w:tc>
          <w:tcPr>
            <w:tcW w:w="1860" w:type="dxa"/>
            <w:tcMar>
              <w:top w:w="0" w:type="dxa"/>
              <w:bottom w:w="0" w:type="dxa"/>
            </w:tcMar>
            <w:vAlign w:val="center"/>
          </w:tcPr>
          <w:p w14:paraId="1033D9C0" w14:textId="77777777" w:rsidR="00BF5D04" w:rsidRDefault="00000000">
            <w:pPr>
              <w:keepNext/>
              <w:keepLines/>
              <w:spacing w:after="0" w:line="240" w:lineRule="auto"/>
              <w:jc w:val="right"/>
            </w:pPr>
            <w:r>
              <w:rPr>
                <w:sz w:val="18"/>
              </w:rPr>
              <w:t>94.657,65</w:t>
            </w:r>
          </w:p>
        </w:tc>
        <w:tc>
          <w:tcPr>
            <w:tcW w:w="700" w:type="dxa"/>
            <w:tcMar>
              <w:top w:w="0" w:type="dxa"/>
              <w:bottom w:w="0" w:type="dxa"/>
            </w:tcMar>
            <w:vAlign w:val="center"/>
          </w:tcPr>
          <w:p w14:paraId="30355D70" w14:textId="77777777" w:rsidR="00BF5D04" w:rsidRDefault="00000000">
            <w:pPr>
              <w:keepNext/>
              <w:keepLines/>
              <w:spacing w:after="0" w:line="240" w:lineRule="auto"/>
              <w:jc w:val="right"/>
            </w:pPr>
            <w:r>
              <w:rPr>
                <w:sz w:val="18"/>
              </w:rPr>
              <w:t>174,1</w:t>
            </w:r>
          </w:p>
        </w:tc>
      </w:tr>
    </w:tbl>
    <w:p w14:paraId="7B8BC237" w14:textId="77777777" w:rsidR="00BF5D04" w:rsidRDefault="00BF5D04">
      <w:pPr>
        <w:spacing w:after="0"/>
      </w:pPr>
    </w:p>
    <w:p w14:paraId="3BA6ABE5" w14:textId="77777777" w:rsidR="00BF5D04" w:rsidRDefault="00000000">
      <w:r>
        <w:t>Stavka je uvećana radi ugradnje klima uređaja u područnim uredima i njihovim ispostavama.</w:t>
      </w:r>
    </w:p>
    <w:p w14:paraId="041D4A09" w14:textId="77777777" w:rsidR="00BF5D04" w:rsidRDefault="00BF5D04"/>
    <w:p w14:paraId="72ADE693" w14:textId="77777777" w:rsidR="00BF5D04" w:rsidRDefault="00000000">
      <w:pPr>
        <w:keepNext/>
        <w:spacing w:line="240" w:lineRule="auto"/>
        <w:jc w:val="center"/>
      </w:pPr>
      <w:r>
        <w:rPr>
          <w:b/>
          <w:sz w:val="28"/>
        </w:rPr>
        <w:t>Bilanca</w:t>
      </w:r>
    </w:p>
    <w:p w14:paraId="14739528" w14:textId="77777777" w:rsidR="00BF5D04" w:rsidRDefault="00000000">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F5D04" w14:paraId="6859CE8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12DEDD5" w14:textId="77777777" w:rsidR="00BF5D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A09D719" w14:textId="77777777" w:rsidR="00BF5D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68DC84C" w14:textId="77777777" w:rsidR="00BF5D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84A133B" w14:textId="77777777" w:rsidR="00BF5D04"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CD08F96" w14:textId="77777777" w:rsidR="00BF5D04"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821161B" w14:textId="77777777" w:rsidR="00BF5D04" w:rsidRDefault="00000000">
            <w:pPr>
              <w:keepNext/>
              <w:keepLines/>
              <w:spacing w:after="0" w:line="240" w:lineRule="auto"/>
              <w:jc w:val="center"/>
            </w:pPr>
            <w:r>
              <w:rPr>
                <w:b/>
                <w:sz w:val="18"/>
              </w:rPr>
              <w:t>Indeks (%)</w:t>
            </w:r>
          </w:p>
        </w:tc>
      </w:tr>
      <w:tr w:rsidR="00BF5D04" w14:paraId="604B97B5" w14:textId="77777777">
        <w:tblPrEx>
          <w:tblCellMar>
            <w:top w:w="0" w:type="dxa"/>
            <w:bottom w:w="0" w:type="dxa"/>
          </w:tblCellMar>
        </w:tblPrEx>
        <w:trPr>
          <w:cantSplit/>
          <w:trHeight w:val="560"/>
        </w:trPr>
        <w:tc>
          <w:tcPr>
            <w:tcW w:w="700" w:type="dxa"/>
            <w:tcMar>
              <w:top w:w="0" w:type="dxa"/>
              <w:bottom w:w="0" w:type="dxa"/>
            </w:tcMar>
            <w:vAlign w:val="center"/>
          </w:tcPr>
          <w:p w14:paraId="58548D72" w14:textId="77777777" w:rsidR="00BF5D04" w:rsidRDefault="00000000">
            <w:pPr>
              <w:keepNext/>
              <w:keepLines/>
              <w:spacing w:after="0" w:line="240" w:lineRule="auto"/>
            </w:pPr>
            <w:r>
              <w:rPr>
                <w:sz w:val="18"/>
              </w:rPr>
              <w:t>11</w:t>
            </w:r>
          </w:p>
        </w:tc>
        <w:tc>
          <w:tcPr>
            <w:tcW w:w="3180" w:type="dxa"/>
            <w:tcMar>
              <w:top w:w="0" w:type="dxa"/>
              <w:bottom w:w="0" w:type="dxa"/>
            </w:tcMar>
            <w:vAlign w:val="center"/>
          </w:tcPr>
          <w:p w14:paraId="3EC3330B" w14:textId="77777777" w:rsidR="00BF5D04" w:rsidRDefault="00000000">
            <w:pPr>
              <w:keepNext/>
              <w:keepLines/>
              <w:spacing w:after="0" w:line="240" w:lineRule="auto"/>
            </w:pPr>
            <w:r>
              <w:rPr>
                <w:sz w:val="18"/>
              </w:rPr>
              <w:t>Novac u banci i blagajni (šifre 111+112 do 114)</w:t>
            </w:r>
          </w:p>
        </w:tc>
        <w:tc>
          <w:tcPr>
            <w:tcW w:w="700" w:type="dxa"/>
            <w:tcMar>
              <w:top w:w="0" w:type="dxa"/>
              <w:bottom w:w="0" w:type="dxa"/>
            </w:tcMar>
            <w:vAlign w:val="center"/>
          </w:tcPr>
          <w:p w14:paraId="618A04A9" w14:textId="77777777" w:rsidR="00BF5D04" w:rsidRDefault="00000000">
            <w:pPr>
              <w:keepNext/>
              <w:keepLines/>
              <w:spacing w:after="0" w:line="240" w:lineRule="auto"/>
            </w:pPr>
            <w:r>
              <w:rPr>
                <w:sz w:val="18"/>
              </w:rPr>
              <w:t>11</w:t>
            </w:r>
          </w:p>
        </w:tc>
        <w:tc>
          <w:tcPr>
            <w:tcW w:w="1860" w:type="dxa"/>
            <w:tcMar>
              <w:top w:w="0" w:type="dxa"/>
              <w:bottom w:w="0" w:type="dxa"/>
            </w:tcMar>
            <w:vAlign w:val="center"/>
          </w:tcPr>
          <w:p w14:paraId="06E1B52B" w14:textId="77777777" w:rsidR="00BF5D04" w:rsidRDefault="00000000">
            <w:pPr>
              <w:keepNext/>
              <w:keepLines/>
              <w:spacing w:after="0" w:line="240" w:lineRule="auto"/>
              <w:jc w:val="right"/>
            </w:pPr>
            <w:r>
              <w:rPr>
                <w:sz w:val="18"/>
              </w:rPr>
              <w:t>9.764,32</w:t>
            </w:r>
          </w:p>
        </w:tc>
        <w:tc>
          <w:tcPr>
            <w:tcW w:w="1860" w:type="dxa"/>
            <w:tcMar>
              <w:top w:w="0" w:type="dxa"/>
              <w:bottom w:w="0" w:type="dxa"/>
            </w:tcMar>
            <w:vAlign w:val="center"/>
          </w:tcPr>
          <w:p w14:paraId="1BEFEA12" w14:textId="77777777" w:rsidR="00BF5D04" w:rsidRDefault="00000000">
            <w:pPr>
              <w:keepNext/>
              <w:keepLines/>
              <w:spacing w:after="0" w:line="240" w:lineRule="auto"/>
              <w:jc w:val="right"/>
            </w:pPr>
            <w:r>
              <w:rPr>
                <w:sz w:val="18"/>
              </w:rPr>
              <w:t>5.725,59</w:t>
            </w:r>
          </w:p>
        </w:tc>
        <w:tc>
          <w:tcPr>
            <w:tcW w:w="700" w:type="dxa"/>
            <w:tcMar>
              <w:top w:w="0" w:type="dxa"/>
              <w:bottom w:w="0" w:type="dxa"/>
            </w:tcMar>
            <w:vAlign w:val="center"/>
          </w:tcPr>
          <w:p w14:paraId="5DF377E6" w14:textId="77777777" w:rsidR="00BF5D04" w:rsidRDefault="00000000">
            <w:pPr>
              <w:keepNext/>
              <w:keepLines/>
              <w:spacing w:after="0" w:line="240" w:lineRule="auto"/>
              <w:jc w:val="right"/>
            </w:pPr>
            <w:r>
              <w:rPr>
                <w:sz w:val="18"/>
              </w:rPr>
              <w:t>58,6</w:t>
            </w:r>
          </w:p>
        </w:tc>
      </w:tr>
    </w:tbl>
    <w:p w14:paraId="4F07DCD6" w14:textId="77777777" w:rsidR="00BF5D04" w:rsidRDefault="00BF5D04">
      <w:pPr>
        <w:spacing w:after="0"/>
      </w:pPr>
    </w:p>
    <w:p w14:paraId="7BAFCEA9" w14:textId="77777777" w:rsidR="00BF5D04" w:rsidRDefault="00000000">
      <w:r>
        <w:t xml:space="preserve">Na stavci 11 evidentirane su uplate/povrati po mjerama </w:t>
      </w:r>
      <w:proofErr w:type="spellStart"/>
      <w:r>
        <w:t>aktivn</w:t>
      </w:r>
      <w:proofErr w:type="spellEnd"/>
      <w:r>
        <w:t xml:space="preserve"> politike zapošljavanja. Sredstva s računa su prenesena na račun državnog proračuna 31.12.2025. u 12.30 te se iznos odnosi na uplate nakon tog vremena.</w:t>
      </w:r>
    </w:p>
    <w:p w14:paraId="22983031" w14:textId="77777777" w:rsidR="00BF5D04" w:rsidRDefault="00000000">
      <w:r>
        <w:t> </w:t>
      </w:r>
    </w:p>
    <w:p w14:paraId="437D98F3" w14:textId="77777777" w:rsidR="00BF5D04" w:rsidRDefault="00000000">
      <w:r>
        <w:t> </w:t>
      </w:r>
    </w:p>
    <w:p w14:paraId="44617140" w14:textId="77777777" w:rsidR="00BF5D04" w:rsidRDefault="00000000">
      <w:r>
        <w:t> </w:t>
      </w:r>
    </w:p>
    <w:p w14:paraId="69428F52" w14:textId="77777777" w:rsidR="00BF5D04" w:rsidRDefault="00BF5D04"/>
    <w:p w14:paraId="39812C48" w14:textId="77777777" w:rsidR="00BF5D04" w:rsidRDefault="00000000">
      <w:pPr>
        <w:keepNext/>
        <w:spacing w:line="240" w:lineRule="auto"/>
        <w:jc w:val="center"/>
      </w:pPr>
      <w:r>
        <w:rPr>
          <w:sz w:val="28"/>
        </w:rPr>
        <w:lastRenderedPageBreak/>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F5D04" w14:paraId="3DB4EE6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B8CAAC9" w14:textId="77777777" w:rsidR="00BF5D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E80B8AF" w14:textId="77777777" w:rsidR="00BF5D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B39FF58" w14:textId="77777777" w:rsidR="00BF5D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B05B0C8" w14:textId="77777777" w:rsidR="00BF5D04"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45BAC04" w14:textId="77777777" w:rsidR="00BF5D04"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BE2FA9C" w14:textId="77777777" w:rsidR="00BF5D04" w:rsidRDefault="00000000">
            <w:pPr>
              <w:keepNext/>
              <w:keepLines/>
              <w:spacing w:after="0" w:line="240" w:lineRule="auto"/>
              <w:jc w:val="center"/>
            </w:pPr>
            <w:r>
              <w:rPr>
                <w:b/>
                <w:sz w:val="18"/>
              </w:rPr>
              <w:t>Indeks (%)</w:t>
            </w:r>
          </w:p>
        </w:tc>
      </w:tr>
      <w:tr w:rsidR="00BF5D04" w14:paraId="26891611" w14:textId="77777777">
        <w:tblPrEx>
          <w:tblCellMar>
            <w:top w:w="0" w:type="dxa"/>
            <w:bottom w:w="0" w:type="dxa"/>
          </w:tblCellMar>
        </w:tblPrEx>
        <w:trPr>
          <w:cantSplit/>
          <w:trHeight w:val="560"/>
        </w:trPr>
        <w:tc>
          <w:tcPr>
            <w:tcW w:w="700" w:type="dxa"/>
            <w:tcMar>
              <w:top w:w="0" w:type="dxa"/>
              <w:bottom w:w="0" w:type="dxa"/>
            </w:tcMar>
            <w:vAlign w:val="center"/>
          </w:tcPr>
          <w:p w14:paraId="612A4340" w14:textId="77777777" w:rsidR="00BF5D04" w:rsidRDefault="00000000">
            <w:pPr>
              <w:keepNext/>
              <w:keepLines/>
              <w:spacing w:after="0" w:line="240" w:lineRule="auto"/>
            </w:pPr>
            <w:r>
              <w:rPr>
                <w:sz w:val="18"/>
              </w:rPr>
              <w:t>162</w:t>
            </w:r>
          </w:p>
        </w:tc>
        <w:tc>
          <w:tcPr>
            <w:tcW w:w="3180" w:type="dxa"/>
            <w:tcMar>
              <w:top w:w="0" w:type="dxa"/>
              <w:bottom w:w="0" w:type="dxa"/>
            </w:tcMar>
            <w:vAlign w:val="center"/>
          </w:tcPr>
          <w:p w14:paraId="2D62CEAF" w14:textId="77777777" w:rsidR="00BF5D04" w:rsidRDefault="00000000">
            <w:pPr>
              <w:keepNext/>
              <w:keepLines/>
              <w:spacing w:after="0" w:line="240" w:lineRule="auto"/>
            </w:pPr>
            <w:r>
              <w:rPr>
                <w:sz w:val="18"/>
              </w:rPr>
              <w:t>Potraživanja za doprinose</w:t>
            </w:r>
          </w:p>
        </w:tc>
        <w:tc>
          <w:tcPr>
            <w:tcW w:w="700" w:type="dxa"/>
            <w:tcMar>
              <w:top w:w="0" w:type="dxa"/>
              <w:bottom w:w="0" w:type="dxa"/>
            </w:tcMar>
            <w:vAlign w:val="center"/>
          </w:tcPr>
          <w:p w14:paraId="429FE0A6" w14:textId="77777777" w:rsidR="00BF5D04" w:rsidRDefault="00000000">
            <w:pPr>
              <w:keepNext/>
              <w:keepLines/>
              <w:spacing w:after="0" w:line="240" w:lineRule="auto"/>
            </w:pPr>
            <w:r>
              <w:rPr>
                <w:sz w:val="18"/>
              </w:rPr>
              <w:t>162</w:t>
            </w:r>
          </w:p>
        </w:tc>
        <w:tc>
          <w:tcPr>
            <w:tcW w:w="1860" w:type="dxa"/>
            <w:tcMar>
              <w:top w:w="0" w:type="dxa"/>
              <w:bottom w:w="0" w:type="dxa"/>
            </w:tcMar>
            <w:vAlign w:val="center"/>
          </w:tcPr>
          <w:p w14:paraId="0A7A0850" w14:textId="77777777" w:rsidR="00BF5D04" w:rsidRDefault="00000000">
            <w:pPr>
              <w:keepNext/>
              <w:keepLines/>
              <w:spacing w:after="0" w:line="240" w:lineRule="auto"/>
              <w:jc w:val="right"/>
            </w:pPr>
            <w:r>
              <w:rPr>
                <w:sz w:val="18"/>
              </w:rPr>
              <w:t>283.516,66</w:t>
            </w:r>
          </w:p>
        </w:tc>
        <w:tc>
          <w:tcPr>
            <w:tcW w:w="1860" w:type="dxa"/>
            <w:tcMar>
              <w:top w:w="0" w:type="dxa"/>
              <w:bottom w:w="0" w:type="dxa"/>
            </w:tcMar>
            <w:vAlign w:val="center"/>
          </w:tcPr>
          <w:p w14:paraId="069DADE6" w14:textId="77777777" w:rsidR="00BF5D04" w:rsidRDefault="00000000">
            <w:pPr>
              <w:keepNext/>
              <w:keepLines/>
              <w:spacing w:after="0" w:line="240" w:lineRule="auto"/>
              <w:jc w:val="right"/>
            </w:pPr>
            <w:r>
              <w:rPr>
                <w:sz w:val="18"/>
              </w:rPr>
              <w:t>804.188,36</w:t>
            </w:r>
          </w:p>
        </w:tc>
        <w:tc>
          <w:tcPr>
            <w:tcW w:w="700" w:type="dxa"/>
            <w:tcMar>
              <w:top w:w="0" w:type="dxa"/>
              <w:bottom w:w="0" w:type="dxa"/>
            </w:tcMar>
            <w:vAlign w:val="center"/>
          </w:tcPr>
          <w:p w14:paraId="6A24F2F2" w14:textId="77777777" w:rsidR="00BF5D04" w:rsidRDefault="00000000">
            <w:pPr>
              <w:keepNext/>
              <w:keepLines/>
              <w:spacing w:after="0" w:line="240" w:lineRule="auto"/>
              <w:jc w:val="right"/>
            </w:pPr>
            <w:r>
              <w:rPr>
                <w:sz w:val="18"/>
              </w:rPr>
              <w:t>283,6</w:t>
            </w:r>
          </w:p>
        </w:tc>
      </w:tr>
    </w:tbl>
    <w:p w14:paraId="74205015" w14:textId="77777777" w:rsidR="00BF5D04" w:rsidRDefault="00BF5D04">
      <w:pPr>
        <w:spacing w:after="0"/>
      </w:pPr>
    </w:p>
    <w:p w14:paraId="16AD2187" w14:textId="77777777" w:rsidR="00BF5D04" w:rsidRDefault="00000000">
      <w:r>
        <w:t>Na ovoj stavci evidentirana su potraživanja i uplate posebnog doprinosa za zapošljavanje osoba zaposlenih u inozemstvu, odnosno uplate temeljem članka 69. Zakona o tržištu rada i Odluke o stjecanju statusa osiguranika u visini posebnog doprinosa za zapošljavanje člana posade broda u međunarodnoj plovidbi. Temeljem Ugovora o stjecanju statusa i preuzimanju obveze uplate posebnog doprinosa za zapošljavanje u slučaju nezaposlenosti osobe ostvaruju pravo na novčanu naknadu. U 2025. znatno je povećan broj sklopljenih ugovora. </w:t>
      </w:r>
    </w:p>
    <w:p w14:paraId="0AEC011A" w14:textId="77777777" w:rsidR="00BF5D04" w:rsidRDefault="00BF5D04"/>
    <w:p w14:paraId="1AF2F9BF" w14:textId="77777777" w:rsidR="00BF5D04" w:rsidRDefault="00000000">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F5D04" w14:paraId="432DF10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663C9CF" w14:textId="77777777" w:rsidR="00BF5D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D41F798" w14:textId="77777777" w:rsidR="00BF5D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6C4638E" w14:textId="77777777" w:rsidR="00BF5D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72BF044" w14:textId="77777777" w:rsidR="00BF5D04"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BAD2497" w14:textId="77777777" w:rsidR="00BF5D04"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C617E0F" w14:textId="77777777" w:rsidR="00BF5D04" w:rsidRDefault="00000000">
            <w:pPr>
              <w:keepNext/>
              <w:keepLines/>
              <w:spacing w:after="0" w:line="240" w:lineRule="auto"/>
              <w:jc w:val="center"/>
            </w:pPr>
            <w:r>
              <w:rPr>
                <w:b/>
                <w:sz w:val="18"/>
              </w:rPr>
              <w:t>Indeks (%)</w:t>
            </w:r>
          </w:p>
        </w:tc>
      </w:tr>
      <w:tr w:rsidR="00BF5D04" w14:paraId="011E6B41" w14:textId="77777777">
        <w:tblPrEx>
          <w:tblCellMar>
            <w:top w:w="0" w:type="dxa"/>
            <w:bottom w:w="0" w:type="dxa"/>
          </w:tblCellMar>
        </w:tblPrEx>
        <w:trPr>
          <w:cantSplit/>
          <w:trHeight w:val="560"/>
        </w:trPr>
        <w:tc>
          <w:tcPr>
            <w:tcW w:w="700" w:type="dxa"/>
            <w:tcMar>
              <w:top w:w="0" w:type="dxa"/>
              <w:bottom w:w="0" w:type="dxa"/>
            </w:tcMar>
            <w:vAlign w:val="center"/>
          </w:tcPr>
          <w:p w14:paraId="54852CE7" w14:textId="77777777" w:rsidR="00BF5D04" w:rsidRDefault="00000000">
            <w:pPr>
              <w:keepNext/>
              <w:keepLines/>
              <w:spacing w:after="0" w:line="240" w:lineRule="auto"/>
            </w:pPr>
            <w:r>
              <w:rPr>
                <w:sz w:val="18"/>
              </w:rPr>
              <w:t>164</w:t>
            </w:r>
          </w:p>
        </w:tc>
        <w:tc>
          <w:tcPr>
            <w:tcW w:w="3180" w:type="dxa"/>
            <w:tcMar>
              <w:top w:w="0" w:type="dxa"/>
              <w:bottom w:w="0" w:type="dxa"/>
            </w:tcMar>
            <w:vAlign w:val="center"/>
          </w:tcPr>
          <w:p w14:paraId="14188811" w14:textId="77777777" w:rsidR="00BF5D04" w:rsidRDefault="00000000">
            <w:pPr>
              <w:keepNext/>
              <w:keepLines/>
              <w:spacing w:after="0" w:line="240" w:lineRule="auto"/>
            </w:pPr>
            <w:r>
              <w:rPr>
                <w:sz w:val="18"/>
              </w:rPr>
              <w:t>Potraživanja za prihode od imovine</w:t>
            </w:r>
          </w:p>
        </w:tc>
        <w:tc>
          <w:tcPr>
            <w:tcW w:w="700" w:type="dxa"/>
            <w:tcMar>
              <w:top w:w="0" w:type="dxa"/>
              <w:bottom w:w="0" w:type="dxa"/>
            </w:tcMar>
            <w:vAlign w:val="center"/>
          </w:tcPr>
          <w:p w14:paraId="0C28A81B" w14:textId="77777777" w:rsidR="00BF5D04" w:rsidRDefault="00000000">
            <w:pPr>
              <w:keepNext/>
              <w:keepLines/>
              <w:spacing w:after="0" w:line="240" w:lineRule="auto"/>
            </w:pPr>
            <w:r>
              <w:rPr>
                <w:sz w:val="18"/>
              </w:rPr>
              <w:t>164</w:t>
            </w:r>
          </w:p>
        </w:tc>
        <w:tc>
          <w:tcPr>
            <w:tcW w:w="1860" w:type="dxa"/>
            <w:tcMar>
              <w:top w:w="0" w:type="dxa"/>
              <w:bottom w:w="0" w:type="dxa"/>
            </w:tcMar>
            <w:vAlign w:val="center"/>
          </w:tcPr>
          <w:p w14:paraId="0EC5C291" w14:textId="77777777" w:rsidR="00BF5D04" w:rsidRDefault="00000000">
            <w:pPr>
              <w:keepNext/>
              <w:keepLines/>
              <w:spacing w:after="0" w:line="240" w:lineRule="auto"/>
              <w:jc w:val="right"/>
            </w:pPr>
            <w:r>
              <w:rPr>
                <w:sz w:val="18"/>
              </w:rPr>
              <w:t>18.796.382,00</w:t>
            </w:r>
          </w:p>
        </w:tc>
        <w:tc>
          <w:tcPr>
            <w:tcW w:w="1860" w:type="dxa"/>
            <w:tcMar>
              <w:top w:w="0" w:type="dxa"/>
              <w:bottom w:w="0" w:type="dxa"/>
            </w:tcMar>
            <w:vAlign w:val="center"/>
          </w:tcPr>
          <w:p w14:paraId="53C5F557" w14:textId="77777777" w:rsidR="00BF5D04" w:rsidRDefault="00000000">
            <w:pPr>
              <w:keepNext/>
              <w:keepLines/>
              <w:spacing w:after="0" w:line="240" w:lineRule="auto"/>
              <w:jc w:val="right"/>
            </w:pPr>
            <w:r>
              <w:rPr>
                <w:sz w:val="18"/>
              </w:rPr>
              <w:t>23.573.050,51</w:t>
            </w:r>
          </w:p>
        </w:tc>
        <w:tc>
          <w:tcPr>
            <w:tcW w:w="700" w:type="dxa"/>
            <w:tcMar>
              <w:top w:w="0" w:type="dxa"/>
              <w:bottom w:w="0" w:type="dxa"/>
            </w:tcMar>
            <w:vAlign w:val="center"/>
          </w:tcPr>
          <w:p w14:paraId="6C61DB13" w14:textId="77777777" w:rsidR="00BF5D04" w:rsidRDefault="00000000">
            <w:pPr>
              <w:keepNext/>
              <w:keepLines/>
              <w:spacing w:after="0" w:line="240" w:lineRule="auto"/>
              <w:jc w:val="right"/>
            </w:pPr>
            <w:r>
              <w:rPr>
                <w:sz w:val="18"/>
              </w:rPr>
              <w:t>125,4</w:t>
            </w:r>
          </w:p>
        </w:tc>
      </w:tr>
    </w:tbl>
    <w:p w14:paraId="07056021" w14:textId="77777777" w:rsidR="00BF5D04" w:rsidRDefault="00BF5D04">
      <w:pPr>
        <w:spacing w:after="0"/>
      </w:pPr>
    </w:p>
    <w:p w14:paraId="7445785A" w14:textId="77777777" w:rsidR="00BF5D04" w:rsidRDefault="00000000">
      <w:r>
        <w:t xml:space="preserve">Na stavci 164 evidentirana su potraživanja od kamata temeljem raskinutih ugovora po mjerama aktivne politike zapošljavanja te danih </w:t>
      </w:r>
      <w:proofErr w:type="spellStart"/>
      <w:r>
        <w:t>zajmovakredita</w:t>
      </w:r>
      <w:proofErr w:type="spellEnd"/>
      <w:r>
        <w:t xml:space="preserve"> plasiranih preko poslovnih banaka krajem 1990 - ih i početkom 2000. godine.</w:t>
      </w:r>
    </w:p>
    <w:p w14:paraId="2826FA0A" w14:textId="77777777" w:rsidR="00BF5D04" w:rsidRDefault="00000000">
      <w:r>
        <w:t xml:space="preserve">Hrvatska poštanska banka kao banka koja upravlja najvećim brojem plasiranih kredita do 2025. nije </w:t>
      </w:r>
      <w:proofErr w:type="spellStart"/>
      <w:r>
        <w:t>obrračunavala</w:t>
      </w:r>
      <w:proofErr w:type="spellEnd"/>
      <w:r>
        <w:t xml:space="preserve"> zakonsku zateznu kamatu za sumnjiva i sporna potraživanja te je u ovoj obračunala istu na zahtjev Zavoda. </w:t>
      </w:r>
    </w:p>
    <w:p w14:paraId="7A530BB3" w14:textId="77777777" w:rsidR="00BF5D04" w:rsidRDefault="00BF5D04"/>
    <w:p w14:paraId="5EF4C976" w14:textId="77777777" w:rsidR="00BF5D04" w:rsidRDefault="00000000">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F5D04" w14:paraId="76A6C84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FE1A262" w14:textId="77777777" w:rsidR="00BF5D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E1F86BB" w14:textId="77777777" w:rsidR="00BF5D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A809AF5" w14:textId="77777777" w:rsidR="00BF5D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2C59FD8" w14:textId="77777777" w:rsidR="00BF5D04"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291D817" w14:textId="77777777" w:rsidR="00BF5D04"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01BD427" w14:textId="77777777" w:rsidR="00BF5D04" w:rsidRDefault="00000000">
            <w:pPr>
              <w:keepNext/>
              <w:keepLines/>
              <w:spacing w:after="0" w:line="240" w:lineRule="auto"/>
              <w:jc w:val="center"/>
            </w:pPr>
            <w:r>
              <w:rPr>
                <w:b/>
                <w:sz w:val="18"/>
              </w:rPr>
              <w:t>Indeks (%)</w:t>
            </w:r>
          </w:p>
        </w:tc>
      </w:tr>
      <w:tr w:rsidR="00BF5D04" w14:paraId="2FD4653D" w14:textId="77777777">
        <w:tblPrEx>
          <w:tblCellMar>
            <w:top w:w="0" w:type="dxa"/>
            <w:bottom w:w="0" w:type="dxa"/>
          </w:tblCellMar>
        </w:tblPrEx>
        <w:trPr>
          <w:cantSplit/>
          <w:trHeight w:val="560"/>
        </w:trPr>
        <w:tc>
          <w:tcPr>
            <w:tcW w:w="700" w:type="dxa"/>
            <w:tcMar>
              <w:top w:w="0" w:type="dxa"/>
              <w:bottom w:w="0" w:type="dxa"/>
            </w:tcMar>
            <w:vAlign w:val="center"/>
          </w:tcPr>
          <w:p w14:paraId="775E9CEA" w14:textId="77777777" w:rsidR="00BF5D04" w:rsidRDefault="00000000">
            <w:pPr>
              <w:keepNext/>
              <w:keepLines/>
              <w:spacing w:after="0" w:line="240" w:lineRule="auto"/>
            </w:pPr>
            <w:r>
              <w:rPr>
                <w:sz w:val="18"/>
              </w:rPr>
              <w:t>167</w:t>
            </w:r>
          </w:p>
        </w:tc>
        <w:tc>
          <w:tcPr>
            <w:tcW w:w="3180" w:type="dxa"/>
            <w:tcMar>
              <w:top w:w="0" w:type="dxa"/>
              <w:bottom w:w="0" w:type="dxa"/>
            </w:tcMar>
            <w:vAlign w:val="center"/>
          </w:tcPr>
          <w:p w14:paraId="03B6BBB7" w14:textId="77777777" w:rsidR="00BF5D04" w:rsidRDefault="00000000">
            <w:pPr>
              <w:keepNext/>
              <w:keepLines/>
              <w:spacing w:after="0" w:line="240" w:lineRule="auto"/>
            </w:pPr>
            <w:r>
              <w:rPr>
                <w:sz w:val="18"/>
              </w:rPr>
              <w:t>Potraživanja proračunskih korisnika za sredstva uplaćena u nadležni proračun i za prihode od HZZO-a na temelju ugovornih obveza</w:t>
            </w:r>
          </w:p>
        </w:tc>
        <w:tc>
          <w:tcPr>
            <w:tcW w:w="700" w:type="dxa"/>
            <w:tcMar>
              <w:top w:w="0" w:type="dxa"/>
              <w:bottom w:w="0" w:type="dxa"/>
            </w:tcMar>
            <w:vAlign w:val="center"/>
          </w:tcPr>
          <w:p w14:paraId="144C14F4" w14:textId="77777777" w:rsidR="00BF5D04" w:rsidRDefault="00000000">
            <w:pPr>
              <w:keepNext/>
              <w:keepLines/>
              <w:spacing w:after="0" w:line="240" w:lineRule="auto"/>
            </w:pPr>
            <w:r>
              <w:rPr>
                <w:sz w:val="18"/>
              </w:rPr>
              <w:t>167</w:t>
            </w:r>
          </w:p>
        </w:tc>
        <w:tc>
          <w:tcPr>
            <w:tcW w:w="1860" w:type="dxa"/>
            <w:tcMar>
              <w:top w:w="0" w:type="dxa"/>
              <w:bottom w:w="0" w:type="dxa"/>
            </w:tcMar>
            <w:vAlign w:val="center"/>
          </w:tcPr>
          <w:p w14:paraId="45CC9454" w14:textId="77777777" w:rsidR="00BF5D04" w:rsidRDefault="00000000">
            <w:pPr>
              <w:keepNext/>
              <w:keepLines/>
              <w:spacing w:after="0" w:line="240" w:lineRule="auto"/>
              <w:jc w:val="right"/>
            </w:pPr>
            <w:r>
              <w:rPr>
                <w:sz w:val="18"/>
              </w:rPr>
              <w:t>6.066.599,77</w:t>
            </w:r>
          </w:p>
        </w:tc>
        <w:tc>
          <w:tcPr>
            <w:tcW w:w="1860" w:type="dxa"/>
            <w:tcMar>
              <w:top w:w="0" w:type="dxa"/>
              <w:bottom w:w="0" w:type="dxa"/>
            </w:tcMar>
            <w:vAlign w:val="center"/>
          </w:tcPr>
          <w:p w14:paraId="5463437D" w14:textId="77777777" w:rsidR="00BF5D04" w:rsidRDefault="00000000">
            <w:pPr>
              <w:keepNext/>
              <w:keepLines/>
              <w:spacing w:after="0" w:line="240" w:lineRule="auto"/>
              <w:jc w:val="right"/>
            </w:pPr>
            <w:r>
              <w:rPr>
                <w:sz w:val="18"/>
              </w:rPr>
              <w:t>2.699.053,59</w:t>
            </w:r>
          </w:p>
        </w:tc>
        <w:tc>
          <w:tcPr>
            <w:tcW w:w="700" w:type="dxa"/>
            <w:tcMar>
              <w:top w:w="0" w:type="dxa"/>
              <w:bottom w:w="0" w:type="dxa"/>
            </w:tcMar>
            <w:vAlign w:val="center"/>
          </w:tcPr>
          <w:p w14:paraId="7F20FE9A" w14:textId="77777777" w:rsidR="00BF5D04" w:rsidRDefault="00000000">
            <w:pPr>
              <w:keepNext/>
              <w:keepLines/>
              <w:spacing w:after="0" w:line="240" w:lineRule="auto"/>
              <w:jc w:val="right"/>
            </w:pPr>
            <w:r>
              <w:rPr>
                <w:sz w:val="18"/>
              </w:rPr>
              <w:t>44,5</w:t>
            </w:r>
          </w:p>
        </w:tc>
      </w:tr>
    </w:tbl>
    <w:p w14:paraId="023CA26A" w14:textId="77777777" w:rsidR="00BF5D04" w:rsidRDefault="00BF5D04">
      <w:pPr>
        <w:spacing w:after="0"/>
      </w:pPr>
    </w:p>
    <w:p w14:paraId="6B2F7A65" w14:textId="77777777" w:rsidR="00BF5D04" w:rsidRDefault="00000000">
      <w:r>
        <w:t xml:space="preserve">Na ovoj stavci Hrvatski zavod za zapošljavanje imao je evidentirana potraživanja od Zavoda za vještačenje, profesionalnu </w:t>
      </w:r>
      <w:proofErr w:type="spellStart"/>
      <w:r>
        <w:t>regabilitaciju</w:t>
      </w:r>
      <w:proofErr w:type="spellEnd"/>
      <w:r>
        <w:t xml:space="preserve"> i zapošljavanje OSI za potpore za očuvanje radnih mjesta uplaćena 2020. Početkom 2025. neutrošena sredstva u iznosu 3.485.411,22 eura su prenesena na stavke ZOSI-ja.</w:t>
      </w:r>
    </w:p>
    <w:p w14:paraId="1777763F" w14:textId="77777777" w:rsidR="00BF5D04" w:rsidRDefault="00BF5D04"/>
    <w:p w14:paraId="5D001B89" w14:textId="77777777" w:rsidR="00BF5D04" w:rsidRDefault="00000000">
      <w:pPr>
        <w:keepNext/>
        <w:spacing w:line="240" w:lineRule="auto"/>
        <w:jc w:val="center"/>
      </w:pPr>
      <w:r>
        <w:rPr>
          <w:sz w:val="28"/>
        </w:rPr>
        <w:lastRenderedPageBreak/>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F5D04" w14:paraId="13C3C7F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82D5000" w14:textId="77777777" w:rsidR="00BF5D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D630C28" w14:textId="77777777" w:rsidR="00BF5D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BD6338C" w14:textId="77777777" w:rsidR="00BF5D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384539A" w14:textId="77777777" w:rsidR="00BF5D04"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68841AB" w14:textId="77777777" w:rsidR="00BF5D04"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44C0761" w14:textId="77777777" w:rsidR="00BF5D04" w:rsidRDefault="00000000">
            <w:pPr>
              <w:keepNext/>
              <w:keepLines/>
              <w:spacing w:after="0" w:line="240" w:lineRule="auto"/>
              <w:jc w:val="center"/>
            </w:pPr>
            <w:r>
              <w:rPr>
                <w:b/>
                <w:sz w:val="18"/>
              </w:rPr>
              <w:t>Indeks (%)</w:t>
            </w:r>
          </w:p>
        </w:tc>
      </w:tr>
      <w:tr w:rsidR="00BF5D04" w14:paraId="6F500F2F" w14:textId="77777777">
        <w:tblPrEx>
          <w:tblCellMar>
            <w:top w:w="0" w:type="dxa"/>
            <w:bottom w:w="0" w:type="dxa"/>
          </w:tblCellMar>
        </w:tblPrEx>
        <w:trPr>
          <w:cantSplit/>
          <w:trHeight w:val="560"/>
        </w:trPr>
        <w:tc>
          <w:tcPr>
            <w:tcW w:w="700" w:type="dxa"/>
            <w:tcMar>
              <w:top w:w="0" w:type="dxa"/>
              <w:bottom w:w="0" w:type="dxa"/>
            </w:tcMar>
            <w:vAlign w:val="center"/>
          </w:tcPr>
          <w:p w14:paraId="58DA28C3" w14:textId="77777777" w:rsidR="00BF5D04" w:rsidRDefault="00000000">
            <w:pPr>
              <w:keepNext/>
              <w:keepLines/>
              <w:spacing w:after="0" w:line="240" w:lineRule="auto"/>
            </w:pPr>
            <w:r>
              <w:rPr>
                <w:sz w:val="18"/>
              </w:rPr>
              <w:t>232</w:t>
            </w:r>
          </w:p>
        </w:tc>
        <w:tc>
          <w:tcPr>
            <w:tcW w:w="3180" w:type="dxa"/>
            <w:tcMar>
              <w:top w:w="0" w:type="dxa"/>
              <w:bottom w:w="0" w:type="dxa"/>
            </w:tcMar>
            <w:vAlign w:val="center"/>
          </w:tcPr>
          <w:p w14:paraId="445AB43B" w14:textId="77777777" w:rsidR="00BF5D04" w:rsidRDefault="00000000">
            <w:pPr>
              <w:keepNext/>
              <w:keepLines/>
              <w:spacing w:after="0" w:line="240" w:lineRule="auto"/>
            </w:pPr>
            <w:r>
              <w:rPr>
                <w:sz w:val="18"/>
              </w:rPr>
              <w:t>Obveze za materijalne rashode</w:t>
            </w:r>
          </w:p>
        </w:tc>
        <w:tc>
          <w:tcPr>
            <w:tcW w:w="700" w:type="dxa"/>
            <w:tcMar>
              <w:top w:w="0" w:type="dxa"/>
              <w:bottom w:w="0" w:type="dxa"/>
            </w:tcMar>
            <w:vAlign w:val="center"/>
          </w:tcPr>
          <w:p w14:paraId="66C10AC8" w14:textId="77777777" w:rsidR="00BF5D04" w:rsidRDefault="00000000">
            <w:pPr>
              <w:keepNext/>
              <w:keepLines/>
              <w:spacing w:after="0" w:line="240" w:lineRule="auto"/>
            </w:pPr>
            <w:r>
              <w:rPr>
                <w:sz w:val="18"/>
              </w:rPr>
              <w:t>232</w:t>
            </w:r>
          </w:p>
        </w:tc>
        <w:tc>
          <w:tcPr>
            <w:tcW w:w="1860" w:type="dxa"/>
            <w:tcMar>
              <w:top w:w="0" w:type="dxa"/>
              <w:bottom w:w="0" w:type="dxa"/>
            </w:tcMar>
            <w:vAlign w:val="center"/>
          </w:tcPr>
          <w:p w14:paraId="16C78236" w14:textId="77777777" w:rsidR="00BF5D04" w:rsidRDefault="00000000">
            <w:pPr>
              <w:keepNext/>
              <w:keepLines/>
              <w:spacing w:after="0" w:line="240" w:lineRule="auto"/>
              <w:jc w:val="right"/>
            </w:pPr>
            <w:r>
              <w:rPr>
                <w:sz w:val="18"/>
              </w:rPr>
              <w:t>530.949,58</w:t>
            </w:r>
          </w:p>
        </w:tc>
        <w:tc>
          <w:tcPr>
            <w:tcW w:w="1860" w:type="dxa"/>
            <w:tcMar>
              <w:top w:w="0" w:type="dxa"/>
              <w:bottom w:w="0" w:type="dxa"/>
            </w:tcMar>
            <w:vAlign w:val="center"/>
          </w:tcPr>
          <w:p w14:paraId="7EDB0623" w14:textId="77777777" w:rsidR="00BF5D04" w:rsidRDefault="00000000">
            <w:pPr>
              <w:keepNext/>
              <w:keepLines/>
              <w:spacing w:after="0" w:line="240" w:lineRule="auto"/>
              <w:jc w:val="right"/>
            </w:pPr>
            <w:r>
              <w:rPr>
                <w:sz w:val="18"/>
              </w:rPr>
              <w:t>1.029.622,01</w:t>
            </w:r>
          </w:p>
        </w:tc>
        <w:tc>
          <w:tcPr>
            <w:tcW w:w="700" w:type="dxa"/>
            <w:tcMar>
              <w:top w:w="0" w:type="dxa"/>
              <w:bottom w:w="0" w:type="dxa"/>
            </w:tcMar>
            <w:vAlign w:val="center"/>
          </w:tcPr>
          <w:p w14:paraId="33877995" w14:textId="77777777" w:rsidR="00BF5D04" w:rsidRDefault="00000000">
            <w:pPr>
              <w:keepNext/>
              <w:keepLines/>
              <w:spacing w:after="0" w:line="240" w:lineRule="auto"/>
              <w:jc w:val="right"/>
            </w:pPr>
            <w:r>
              <w:rPr>
                <w:sz w:val="18"/>
              </w:rPr>
              <w:t>193,9</w:t>
            </w:r>
          </w:p>
        </w:tc>
      </w:tr>
    </w:tbl>
    <w:p w14:paraId="6D6377E8" w14:textId="77777777" w:rsidR="00BF5D04" w:rsidRDefault="00BF5D04">
      <w:pPr>
        <w:spacing w:after="0"/>
      </w:pPr>
    </w:p>
    <w:p w14:paraId="1BFBE69C" w14:textId="77777777" w:rsidR="00BF5D04" w:rsidRDefault="00000000">
      <w:r>
        <w:t>U prosincu 2025. zaprimljeni su računi s dospijećem u siječnju 2026, ali su sukladno Pravilniku o proračunskom računovodstvu i računskom planu evidentirani u trenutku nastanka obveze, odnosno u 2025. godini.</w:t>
      </w:r>
    </w:p>
    <w:p w14:paraId="29CAB4BB" w14:textId="77777777" w:rsidR="00BF5D04" w:rsidRDefault="00BF5D04"/>
    <w:p w14:paraId="60843D67" w14:textId="77777777" w:rsidR="00BF5D04" w:rsidRDefault="00000000">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F5D04" w14:paraId="427F6C2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C347F98" w14:textId="77777777" w:rsidR="00BF5D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50FC8A2" w14:textId="77777777" w:rsidR="00BF5D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9909D3C" w14:textId="77777777" w:rsidR="00BF5D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BECCAFB" w14:textId="77777777" w:rsidR="00BF5D04"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633E444" w14:textId="77777777" w:rsidR="00BF5D04"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FC8B974" w14:textId="77777777" w:rsidR="00BF5D04" w:rsidRDefault="00000000">
            <w:pPr>
              <w:keepNext/>
              <w:keepLines/>
              <w:spacing w:after="0" w:line="240" w:lineRule="auto"/>
              <w:jc w:val="center"/>
            </w:pPr>
            <w:r>
              <w:rPr>
                <w:b/>
                <w:sz w:val="18"/>
              </w:rPr>
              <w:t>Indeks (%)</w:t>
            </w:r>
          </w:p>
        </w:tc>
      </w:tr>
      <w:tr w:rsidR="00BF5D04" w14:paraId="0ED6ABFF" w14:textId="77777777">
        <w:tblPrEx>
          <w:tblCellMar>
            <w:top w:w="0" w:type="dxa"/>
            <w:bottom w:w="0" w:type="dxa"/>
          </w:tblCellMar>
        </w:tblPrEx>
        <w:trPr>
          <w:cantSplit/>
          <w:trHeight w:val="560"/>
        </w:trPr>
        <w:tc>
          <w:tcPr>
            <w:tcW w:w="700" w:type="dxa"/>
            <w:tcMar>
              <w:top w:w="0" w:type="dxa"/>
              <w:bottom w:w="0" w:type="dxa"/>
            </w:tcMar>
            <w:vAlign w:val="center"/>
          </w:tcPr>
          <w:p w14:paraId="2D662722" w14:textId="77777777" w:rsidR="00BF5D04" w:rsidRDefault="00000000">
            <w:pPr>
              <w:keepNext/>
              <w:keepLines/>
              <w:spacing w:after="0" w:line="240" w:lineRule="auto"/>
            </w:pPr>
            <w:r>
              <w:rPr>
                <w:sz w:val="18"/>
              </w:rPr>
              <w:t>991</w:t>
            </w:r>
          </w:p>
        </w:tc>
        <w:tc>
          <w:tcPr>
            <w:tcW w:w="3180" w:type="dxa"/>
            <w:tcMar>
              <w:top w:w="0" w:type="dxa"/>
              <w:bottom w:w="0" w:type="dxa"/>
            </w:tcMar>
            <w:vAlign w:val="center"/>
          </w:tcPr>
          <w:p w14:paraId="42F817F2" w14:textId="77777777" w:rsidR="00BF5D04" w:rsidRDefault="00000000">
            <w:pPr>
              <w:keepNext/>
              <w:keepLines/>
              <w:spacing w:after="0" w:line="240" w:lineRule="auto"/>
            </w:pPr>
            <w:proofErr w:type="spellStart"/>
            <w:r>
              <w:rPr>
                <w:sz w:val="18"/>
              </w:rPr>
              <w:t>Izvanbilančni</w:t>
            </w:r>
            <w:proofErr w:type="spellEnd"/>
            <w:r>
              <w:rPr>
                <w:sz w:val="18"/>
              </w:rPr>
              <w:t xml:space="preserve"> zapisi - aktiva (šifra 996)</w:t>
            </w:r>
          </w:p>
        </w:tc>
        <w:tc>
          <w:tcPr>
            <w:tcW w:w="700" w:type="dxa"/>
            <w:tcMar>
              <w:top w:w="0" w:type="dxa"/>
              <w:bottom w:w="0" w:type="dxa"/>
            </w:tcMar>
            <w:vAlign w:val="center"/>
          </w:tcPr>
          <w:p w14:paraId="42BB7B87" w14:textId="77777777" w:rsidR="00BF5D04" w:rsidRDefault="00000000">
            <w:pPr>
              <w:keepNext/>
              <w:keepLines/>
              <w:spacing w:after="0" w:line="240" w:lineRule="auto"/>
            </w:pPr>
            <w:r>
              <w:rPr>
                <w:sz w:val="18"/>
              </w:rPr>
              <w:t>991</w:t>
            </w:r>
          </w:p>
        </w:tc>
        <w:tc>
          <w:tcPr>
            <w:tcW w:w="1860" w:type="dxa"/>
            <w:tcMar>
              <w:top w:w="0" w:type="dxa"/>
              <w:bottom w:w="0" w:type="dxa"/>
            </w:tcMar>
            <w:vAlign w:val="center"/>
          </w:tcPr>
          <w:p w14:paraId="2D7EB100" w14:textId="77777777" w:rsidR="00BF5D04" w:rsidRDefault="00000000">
            <w:pPr>
              <w:keepNext/>
              <w:keepLines/>
              <w:spacing w:after="0" w:line="240" w:lineRule="auto"/>
              <w:jc w:val="right"/>
            </w:pPr>
            <w:r>
              <w:rPr>
                <w:sz w:val="18"/>
              </w:rPr>
              <w:t>744.182.416,96</w:t>
            </w:r>
          </w:p>
        </w:tc>
        <w:tc>
          <w:tcPr>
            <w:tcW w:w="1860" w:type="dxa"/>
            <w:tcMar>
              <w:top w:w="0" w:type="dxa"/>
              <w:bottom w:w="0" w:type="dxa"/>
            </w:tcMar>
            <w:vAlign w:val="center"/>
          </w:tcPr>
          <w:p w14:paraId="7059275C" w14:textId="77777777" w:rsidR="00BF5D04" w:rsidRDefault="00000000">
            <w:pPr>
              <w:keepNext/>
              <w:keepLines/>
              <w:spacing w:after="0" w:line="240" w:lineRule="auto"/>
              <w:jc w:val="right"/>
            </w:pPr>
            <w:r>
              <w:rPr>
                <w:sz w:val="18"/>
              </w:rPr>
              <w:t>1.257.001.511,93</w:t>
            </w:r>
          </w:p>
        </w:tc>
        <w:tc>
          <w:tcPr>
            <w:tcW w:w="700" w:type="dxa"/>
            <w:tcMar>
              <w:top w:w="0" w:type="dxa"/>
              <w:bottom w:w="0" w:type="dxa"/>
            </w:tcMar>
            <w:vAlign w:val="center"/>
          </w:tcPr>
          <w:p w14:paraId="2747F6E0" w14:textId="77777777" w:rsidR="00BF5D04" w:rsidRDefault="00000000">
            <w:pPr>
              <w:keepNext/>
              <w:keepLines/>
              <w:spacing w:after="0" w:line="240" w:lineRule="auto"/>
              <w:jc w:val="right"/>
            </w:pPr>
            <w:r>
              <w:rPr>
                <w:sz w:val="18"/>
              </w:rPr>
              <w:t>168,9</w:t>
            </w:r>
          </w:p>
        </w:tc>
      </w:tr>
    </w:tbl>
    <w:p w14:paraId="5C910717" w14:textId="77777777" w:rsidR="00BF5D04" w:rsidRDefault="00BF5D04">
      <w:pPr>
        <w:spacing w:after="0"/>
      </w:pPr>
    </w:p>
    <w:p w14:paraId="42C9D2B3" w14:textId="77777777" w:rsidR="00BF5D04" w:rsidRDefault="00000000">
      <w:r>
        <w:t xml:space="preserve"> Na </w:t>
      </w:r>
      <w:proofErr w:type="spellStart"/>
      <w:r>
        <w:t>izvanbilančnim</w:t>
      </w:r>
      <w:proofErr w:type="spellEnd"/>
      <w:r>
        <w:t xml:space="preserve"> zapisima evidentirane su sljedeće stavke: </w:t>
      </w:r>
    </w:p>
    <w:p w14:paraId="53A4F298" w14:textId="77777777" w:rsidR="00BF5D04" w:rsidRDefault="00000000">
      <w:pPr>
        <w:pStyle w:val="ListParagraph"/>
        <w:numPr>
          <w:ilvl w:val="0"/>
          <w:numId w:val="1"/>
        </w:numPr>
      </w:pPr>
      <w:r>
        <w:t>tuđa imovina dobivena na korištenje</w:t>
      </w:r>
    </w:p>
    <w:p w14:paraId="79FB9BB0" w14:textId="77777777" w:rsidR="00BF5D04" w:rsidRDefault="00000000">
      <w:pPr>
        <w:pStyle w:val="ListParagraph"/>
        <w:numPr>
          <w:ilvl w:val="0"/>
          <w:numId w:val="1"/>
        </w:numPr>
      </w:pPr>
      <w:r>
        <w:t>dugotrajna nefinancijska imovina nabavljena iz operativnog najma</w:t>
      </w:r>
    </w:p>
    <w:p w14:paraId="4490B369" w14:textId="77777777" w:rsidR="00BF5D04" w:rsidRDefault="00000000">
      <w:pPr>
        <w:pStyle w:val="ListParagraph"/>
        <w:numPr>
          <w:ilvl w:val="0"/>
          <w:numId w:val="1"/>
        </w:numPr>
      </w:pPr>
      <w:r>
        <w:t>instrumenti osiguranja plaćanja</w:t>
      </w:r>
    </w:p>
    <w:p w14:paraId="7E3FA260" w14:textId="77777777" w:rsidR="00BF5D04" w:rsidRDefault="00000000">
      <w:pPr>
        <w:pStyle w:val="ListParagraph"/>
        <w:numPr>
          <w:ilvl w:val="0"/>
          <w:numId w:val="1"/>
        </w:numPr>
      </w:pPr>
      <w:r>
        <w:t>potencijalne obveze po osnovi sudskih sporova u tijeku</w:t>
      </w:r>
    </w:p>
    <w:p w14:paraId="6A4537E8" w14:textId="77777777" w:rsidR="00BF5D04" w:rsidRDefault="00000000">
      <w:pPr>
        <w:pStyle w:val="ListParagraph"/>
        <w:numPr>
          <w:ilvl w:val="0"/>
          <w:numId w:val="1"/>
        </w:numPr>
      </w:pPr>
      <w:r>
        <w:t>preuzete obveze po ugovorima o nabavi roba, radova i usluga</w:t>
      </w:r>
    </w:p>
    <w:p w14:paraId="7C7EA302" w14:textId="77777777" w:rsidR="00BF5D04" w:rsidRDefault="00000000">
      <w:pPr>
        <w:pStyle w:val="ListParagraph"/>
        <w:numPr>
          <w:ilvl w:val="0"/>
          <w:numId w:val="1"/>
        </w:numPr>
      </w:pPr>
      <w:r>
        <w:t>preuzete obveze po ugovorima o dodjeli bespovratnih sredstava iz EU fondova</w:t>
      </w:r>
      <w:r>
        <w:br/>
      </w:r>
      <w:r>
        <w:br/>
        <w:t xml:space="preserve">Radi evidentiranja preuzetih obveza po ugovorima o dodjeli bespovratnih sredstava iz EU fondova sukladno Uputi za računovodstveno evidentiranje sredstava EU koja je na snazi od 1.1.2025. </w:t>
      </w:r>
      <w:proofErr w:type="spellStart"/>
      <w:r>
        <w:t>izvanbilančni</w:t>
      </w:r>
      <w:proofErr w:type="spellEnd"/>
      <w:r>
        <w:t xml:space="preserve"> zapisi su osjetno povećani.</w:t>
      </w:r>
    </w:p>
    <w:p w14:paraId="21407ADD" w14:textId="77777777" w:rsidR="00BF5D04" w:rsidRDefault="00000000">
      <w:r>
        <w:t> </w:t>
      </w:r>
    </w:p>
    <w:p w14:paraId="41B642EE" w14:textId="77777777" w:rsidR="00BF5D04" w:rsidRDefault="00BF5D04"/>
    <w:p w14:paraId="08328BB7" w14:textId="77777777" w:rsidR="00BF5D04" w:rsidRDefault="00000000">
      <w:pPr>
        <w:keepNext/>
        <w:spacing w:line="240" w:lineRule="auto"/>
        <w:jc w:val="center"/>
      </w:pPr>
      <w:r>
        <w:rPr>
          <w:b/>
          <w:sz w:val="28"/>
        </w:rPr>
        <w:t>Promjene u vrijednosti i obujmu imovine i obveza</w:t>
      </w:r>
    </w:p>
    <w:p w14:paraId="1626AA7F" w14:textId="77777777" w:rsidR="00BF5D04" w:rsidRDefault="00000000">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F5D04" w14:paraId="69F5E2F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4679AC2" w14:textId="77777777" w:rsidR="00BF5D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5A8EF65" w14:textId="77777777" w:rsidR="00BF5D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CF4FD9C" w14:textId="77777777" w:rsidR="00BF5D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DB236B2" w14:textId="77777777" w:rsidR="00BF5D04"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08E9093C" w14:textId="77777777" w:rsidR="00BF5D04"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6F13E99B" w14:textId="77777777" w:rsidR="00BF5D04" w:rsidRDefault="00000000">
            <w:pPr>
              <w:keepNext/>
              <w:keepLines/>
              <w:spacing w:after="0" w:line="240" w:lineRule="auto"/>
              <w:jc w:val="center"/>
            </w:pPr>
            <w:r>
              <w:rPr>
                <w:b/>
                <w:sz w:val="18"/>
              </w:rPr>
              <w:t>Indeks (%)</w:t>
            </w:r>
          </w:p>
        </w:tc>
      </w:tr>
      <w:tr w:rsidR="00BF5D04" w14:paraId="1F7AC2C5" w14:textId="77777777">
        <w:tblPrEx>
          <w:tblCellMar>
            <w:top w:w="0" w:type="dxa"/>
            <w:bottom w:w="0" w:type="dxa"/>
          </w:tblCellMar>
        </w:tblPrEx>
        <w:trPr>
          <w:cantSplit/>
          <w:trHeight w:val="560"/>
        </w:trPr>
        <w:tc>
          <w:tcPr>
            <w:tcW w:w="700" w:type="dxa"/>
            <w:tcMar>
              <w:top w:w="0" w:type="dxa"/>
              <w:bottom w:w="0" w:type="dxa"/>
            </w:tcMar>
            <w:vAlign w:val="center"/>
          </w:tcPr>
          <w:p w14:paraId="1910B064" w14:textId="77777777" w:rsidR="00BF5D04" w:rsidRDefault="00000000">
            <w:pPr>
              <w:keepNext/>
              <w:keepLines/>
              <w:spacing w:after="0" w:line="240" w:lineRule="auto"/>
            </w:pPr>
            <w:r>
              <w:rPr>
                <w:sz w:val="18"/>
              </w:rPr>
              <w:t>9151</w:t>
            </w:r>
          </w:p>
        </w:tc>
        <w:tc>
          <w:tcPr>
            <w:tcW w:w="3180" w:type="dxa"/>
            <w:tcMar>
              <w:top w:w="0" w:type="dxa"/>
              <w:bottom w:w="0" w:type="dxa"/>
            </w:tcMar>
            <w:vAlign w:val="center"/>
          </w:tcPr>
          <w:p w14:paraId="304BA892" w14:textId="77777777" w:rsidR="00BF5D04" w:rsidRDefault="00000000">
            <w:pPr>
              <w:keepNext/>
              <w:keepLines/>
              <w:spacing w:after="0" w:line="240" w:lineRule="auto"/>
            </w:pPr>
            <w:r>
              <w:rPr>
                <w:sz w:val="18"/>
              </w:rPr>
              <w:t>Promjene u vrijednosti i obujmu imovine (šifre 91511+91512)</w:t>
            </w:r>
          </w:p>
        </w:tc>
        <w:tc>
          <w:tcPr>
            <w:tcW w:w="700" w:type="dxa"/>
            <w:tcMar>
              <w:top w:w="0" w:type="dxa"/>
              <w:bottom w:w="0" w:type="dxa"/>
            </w:tcMar>
            <w:vAlign w:val="center"/>
          </w:tcPr>
          <w:p w14:paraId="618EC460" w14:textId="77777777" w:rsidR="00BF5D04" w:rsidRDefault="00000000">
            <w:pPr>
              <w:keepNext/>
              <w:keepLines/>
              <w:spacing w:after="0" w:line="240" w:lineRule="auto"/>
            </w:pPr>
            <w:r>
              <w:rPr>
                <w:sz w:val="18"/>
              </w:rPr>
              <w:t>9151</w:t>
            </w:r>
          </w:p>
        </w:tc>
        <w:tc>
          <w:tcPr>
            <w:tcW w:w="1860" w:type="dxa"/>
            <w:tcMar>
              <w:top w:w="0" w:type="dxa"/>
              <w:bottom w:w="0" w:type="dxa"/>
            </w:tcMar>
            <w:vAlign w:val="center"/>
          </w:tcPr>
          <w:p w14:paraId="3D1080D3" w14:textId="77777777" w:rsidR="00BF5D04" w:rsidRDefault="00000000">
            <w:pPr>
              <w:keepNext/>
              <w:keepLines/>
              <w:spacing w:after="0" w:line="240" w:lineRule="auto"/>
              <w:jc w:val="right"/>
            </w:pPr>
            <w:r>
              <w:rPr>
                <w:sz w:val="18"/>
              </w:rPr>
              <w:t>102.404,42</w:t>
            </w:r>
          </w:p>
        </w:tc>
        <w:tc>
          <w:tcPr>
            <w:tcW w:w="1860" w:type="dxa"/>
            <w:tcMar>
              <w:top w:w="0" w:type="dxa"/>
              <w:bottom w:w="0" w:type="dxa"/>
            </w:tcMar>
            <w:vAlign w:val="center"/>
          </w:tcPr>
          <w:p w14:paraId="3D2AF259" w14:textId="77777777" w:rsidR="00BF5D04" w:rsidRDefault="00000000">
            <w:pPr>
              <w:keepNext/>
              <w:keepLines/>
              <w:spacing w:after="0" w:line="240" w:lineRule="auto"/>
              <w:jc w:val="right"/>
            </w:pPr>
            <w:r>
              <w:rPr>
                <w:sz w:val="18"/>
              </w:rPr>
              <w:t>2.968.754,13</w:t>
            </w:r>
          </w:p>
        </w:tc>
        <w:tc>
          <w:tcPr>
            <w:tcW w:w="700" w:type="dxa"/>
            <w:tcMar>
              <w:top w:w="0" w:type="dxa"/>
              <w:bottom w:w="0" w:type="dxa"/>
            </w:tcMar>
            <w:vAlign w:val="center"/>
          </w:tcPr>
          <w:p w14:paraId="33A0160D" w14:textId="77777777" w:rsidR="00BF5D04" w:rsidRDefault="00000000">
            <w:pPr>
              <w:keepNext/>
              <w:keepLines/>
              <w:spacing w:after="0" w:line="240" w:lineRule="auto"/>
              <w:jc w:val="right"/>
            </w:pPr>
            <w:r>
              <w:rPr>
                <w:sz w:val="18"/>
              </w:rPr>
              <w:t>2899,0</w:t>
            </w:r>
          </w:p>
        </w:tc>
      </w:tr>
    </w:tbl>
    <w:p w14:paraId="438ED56F" w14:textId="77777777" w:rsidR="00BF5D04" w:rsidRDefault="00BF5D04">
      <w:pPr>
        <w:spacing w:after="0"/>
      </w:pPr>
    </w:p>
    <w:p w14:paraId="599EE34E" w14:textId="77777777" w:rsidR="00BF5D04" w:rsidRDefault="00000000">
      <w:r>
        <w:t xml:space="preserve">Promjene u obujmu imovine odnose se na povećanje proizvedene imovine - garaža i kuća u vlasništvu Zavoda temeljem procjembenog elaborata, dok se smanjenje odnosi na ispravak knjiženja proizvedene imovine, također temeljem procjembenog elaborata, te na otpise potraživanja po mjerama aktivne politike zapošljavanja, kreditima te novčanim naknadama </w:t>
      </w:r>
      <w:r>
        <w:lastRenderedPageBreak/>
        <w:t>kao i otpise dugotrajne imovine sukladno odlukama Upravnog vijeća tijekom godišnjeg popisa imovine i obveza. </w:t>
      </w:r>
    </w:p>
    <w:p w14:paraId="3F831B53" w14:textId="77777777" w:rsidR="00BF5D04" w:rsidRDefault="00BF5D04"/>
    <w:p w14:paraId="23BC1FE3" w14:textId="77777777" w:rsidR="00BF5D04" w:rsidRDefault="00000000">
      <w:pPr>
        <w:keepNext/>
        <w:spacing w:line="240" w:lineRule="auto"/>
        <w:jc w:val="center"/>
      </w:pPr>
      <w:r>
        <w:rPr>
          <w:b/>
          <w:sz w:val="28"/>
        </w:rPr>
        <w:t>Izvještaj o obvezama</w:t>
      </w:r>
    </w:p>
    <w:p w14:paraId="03200E0D" w14:textId="77777777" w:rsidR="00BF5D04" w:rsidRDefault="00000000">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BF5D04" w14:paraId="72873F9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FC7C03E" w14:textId="77777777" w:rsidR="00BF5D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D26FB38" w14:textId="77777777" w:rsidR="00BF5D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B806517" w14:textId="77777777" w:rsidR="00BF5D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7B303B7" w14:textId="77777777" w:rsidR="00BF5D04"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49A24D96" w14:textId="77777777" w:rsidR="00BF5D04" w:rsidRDefault="00000000">
            <w:pPr>
              <w:keepNext/>
              <w:keepLines/>
              <w:spacing w:after="0" w:line="240" w:lineRule="auto"/>
              <w:jc w:val="center"/>
            </w:pPr>
            <w:r>
              <w:rPr>
                <w:b/>
                <w:sz w:val="18"/>
              </w:rPr>
              <w:t>Indeks (%)</w:t>
            </w:r>
          </w:p>
        </w:tc>
      </w:tr>
      <w:tr w:rsidR="00BF5D04" w14:paraId="3DD320A6" w14:textId="77777777">
        <w:tblPrEx>
          <w:tblCellMar>
            <w:top w:w="0" w:type="dxa"/>
            <w:bottom w:w="0" w:type="dxa"/>
          </w:tblCellMar>
        </w:tblPrEx>
        <w:trPr>
          <w:cantSplit/>
          <w:trHeight w:val="560"/>
        </w:trPr>
        <w:tc>
          <w:tcPr>
            <w:tcW w:w="700" w:type="dxa"/>
            <w:tcMar>
              <w:top w:w="0" w:type="dxa"/>
              <w:bottom w:w="0" w:type="dxa"/>
            </w:tcMar>
            <w:vAlign w:val="center"/>
          </w:tcPr>
          <w:p w14:paraId="49A07F38" w14:textId="77777777" w:rsidR="00BF5D04" w:rsidRDefault="00BF5D04">
            <w:pPr>
              <w:keepNext/>
              <w:keepLines/>
              <w:spacing w:after="0" w:line="240" w:lineRule="auto"/>
            </w:pPr>
          </w:p>
        </w:tc>
        <w:tc>
          <w:tcPr>
            <w:tcW w:w="3180" w:type="dxa"/>
            <w:tcMar>
              <w:top w:w="0" w:type="dxa"/>
              <w:bottom w:w="0" w:type="dxa"/>
            </w:tcMar>
            <w:vAlign w:val="center"/>
          </w:tcPr>
          <w:p w14:paraId="2D3D53B2" w14:textId="77777777" w:rsidR="00BF5D04"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24C0B107" w14:textId="77777777" w:rsidR="00BF5D04" w:rsidRDefault="00000000">
            <w:pPr>
              <w:keepNext/>
              <w:keepLines/>
              <w:spacing w:after="0" w:line="240" w:lineRule="auto"/>
            </w:pPr>
            <w:r>
              <w:rPr>
                <w:sz w:val="18"/>
              </w:rPr>
              <w:t>V007</w:t>
            </w:r>
          </w:p>
        </w:tc>
        <w:tc>
          <w:tcPr>
            <w:tcW w:w="1860" w:type="dxa"/>
            <w:tcMar>
              <w:top w:w="0" w:type="dxa"/>
              <w:bottom w:w="0" w:type="dxa"/>
            </w:tcMar>
            <w:vAlign w:val="center"/>
          </w:tcPr>
          <w:p w14:paraId="0F541976" w14:textId="77777777" w:rsidR="00BF5D04" w:rsidRDefault="00000000">
            <w:pPr>
              <w:keepNext/>
              <w:keepLines/>
              <w:spacing w:after="0" w:line="240" w:lineRule="auto"/>
              <w:jc w:val="right"/>
            </w:pPr>
            <w:r>
              <w:rPr>
                <w:sz w:val="18"/>
              </w:rPr>
              <w:t>0,00</w:t>
            </w:r>
          </w:p>
        </w:tc>
        <w:tc>
          <w:tcPr>
            <w:tcW w:w="700" w:type="dxa"/>
            <w:tcMar>
              <w:top w:w="0" w:type="dxa"/>
              <w:bottom w:w="0" w:type="dxa"/>
            </w:tcMar>
            <w:vAlign w:val="center"/>
          </w:tcPr>
          <w:p w14:paraId="28617506" w14:textId="77777777" w:rsidR="00BF5D04" w:rsidRDefault="00000000">
            <w:pPr>
              <w:keepNext/>
              <w:keepLines/>
              <w:spacing w:after="0" w:line="240" w:lineRule="auto"/>
              <w:jc w:val="right"/>
            </w:pPr>
            <w:r>
              <w:rPr>
                <w:sz w:val="18"/>
              </w:rPr>
              <w:t>-</w:t>
            </w:r>
          </w:p>
        </w:tc>
      </w:tr>
    </w:tbl>
    <w:p w14:paraId="6798665B" w14:textId="77777777" w:rsidR="00BF5D04" w:rsidRDefault="00BF5D04">
      <w:pPr>
        <w:spacing w:after="0"/>
      </w:pPr>
    </w:p>
    <w:p w14:paraId="5C9B9A08" w14:textId="77777777" w:rsidR="00BF5D04" w:rsidRDefault="00000000">
      <w:r>
        <w:t>Hrvatski zavod za zapošljavanje na kraju izvještajnog razdoblja nije imao dospjelih obveza. </w:t>
      </w:r>
    </w:p>
    <w:p w14:paraId="5871111A" w14:textId="77777777" w:rsidR="00BF5D04" w:rsidRDefault="00BF5D04"/>
    <w:p w14:paraId="04A9F761" w14:textId="77777777" w:rsidR="00BF5D04" w:rsidRDefault="00000000">
      <w:pPr>
        <w:keepNext/>
        <w:spacing w:line="240" w:lineRule="auto"/>
        <w:jc w:val="center"/>
      </w:pPr>
      <w:r>
        <w:rPr>
          <w:sz w:val="28"/>
        </w:rPr>
        <w:t>Bilješka 28.</w:t>
      </w:r>
    </w:p>
    <w:p w14:paraId="0783EB0E" w14:textId="77777777" w:rsidR="00BF5D04" w:rsidRDefault="00000000">
      <w:pPr>
        <w:spacing w:line="240" w:lineRule="auto"/>
        <w:jc w:val="both"/>
      </w:pPr>
      <w:r>
        <w:rPr>
          <w:b/>
        </w:rPr>
        <w:t>EU izvještaj</w:t>
      </w:r>
    </w:p>
    <w:p w14:paraId="6ADD2F02" w14:textId="77777777" w:rsidR="00BF5D04" w:rsidRDefault="00000000">
      <w:r>
        <w:t xml:space="preserve">U EU izvještaju prikazani su prihodi, rashodi, potraživanja, obveze te </w:t>
      </w:r>
      <w:proofErr w:type="spellStart"/>
      <w:r>
        <w:t>izvanbilančni</w:t>
      </w:r>
      <w:proofErr w:type="spellEnd"/>
      <w:r>
        <w:t xml:space="preserve"> zapisi evidentirani u poslovnim knjigama Hrvatskog zavoda za  zapošljavanje i to na izvorima financiranja 561, 581, 51 te izvora 12 na aktivnostima T689039 - ESF+ , T813039 - NPOO, A689013 - Administracija i upravljanje te T813015 - razvoj znanja i vještina za poboljšane uvjete na tržištu rada.</w:t>
      </w:r>
    </w:p>
    <w:p w14:paraId="42613F09" w14:textId="77777777" w:rsidR="00BF5D04" w:rsidRDefault="00000000">
      <w:r>
        <w:t> </w:t>
      </w:r>
    </w:p>
    <w:p w14:paraId="27BC17E9" w14:textId="77777777" w:rsidR="00BF5D04" w:rsidRDefault="00BF5D04"/>
    <w:sectPr w:rsidR="00BF5D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635D90"/>
    <w:multiLevelType w:val="hybridMultilevel"/>
    <w:tmpl w:val="5BDEDC5E"/>
    <w:name w:val="disc"/>
    <w:lvl w:ilvl="0" w:tplc="BB02C9BA">
      <w:start w:val="1"/>
      <w:numFmt w:val="bullet"/>
      <w:lvlText w:val="•"/>
      <w:lvlJc w:val="left"/>
      <w:pPr>
        <w:ind w:left="720" w:hanging="360"/>
      </w:pPr>
    </w:lvl>
    <w:lvl w:ilvl="1" w:tplc="996A011C">
      <w:start w:val="1"/>
      <w:numFmt w:val="bullet"/>
      <w:lvlText w:val="•"/>
      <w:lvlJc w:val="left"/>
      <w:pPr>
        <w:ind w:left="1440" w:hanging="360"/>
      </w:pPr>
    </w:lvl>
    <w:lvl w:ilvl="2" w:tplc="C824AB8A">
      <w:start w:val="1"/>
      <w:numFmt w:val="bullet"/>
      <w:lvlText w:val="•"/>
      <w:lvlJc w:val="left"/>
      <w:pPr>
        <w:ind w:left="2160" w:hanging="360"/>
      </w:pPr>
    </w:lvl>
    <w:lvl w:ilvl="3" w:tplc="38EE66EA">
      <w:start w:val="1"/>
      <w:numFmt w:val="bullet"/>
      <w:lvlText w:val="•"/>
      <w:lvlJc w:val="left"/>
      <w:pPr>
        <w:ind w:left="2880" w:hanging="360"/>
      </w:pPr>
    </w:lvl>
    <w:lvl w:ilvl="4" w:tplc="B92A0F1A">
      <w:start w:val="1"/>
      <w:numFmt w:val="bullet"/>
      <w:lvlText w:val="•"/>
      <w:lvlJc w:val="left"/>
      <w:pPr>
        <w:ind w:left="3600" w:hanging="360"/>
      </w:pPr>
    </w:lvl>
    <w:lvl w:ilvl="5" w:tplc="DEACF750">
      <w:start w:val="1"/>
      <w:numFmt w:val="bullet"/>
      <w:lvlText w:val="•"/>
      <w:lvlJc w:val="left"/>
      <w:pPr>
        <w:ind w:left="4320" w:hanging="360"/>
      </w:pPr>
    </w:lvl>
    <w:lvl w:ilvl="6" w:tplc="7FD69470">
      <w:start w:val="1"/>
      <w:numFmt w:val="bullet"/>
      <w:lvlText w:val="•"/>
      <w:lvlJc w:val="left"/>
      <w:pPr>
        <w:ind w:left="5040" w:hanging="360"/>
      </w:pPr>
    </w:lvl>
    <w:lvl w:ilvl="7" w:tplc="242026EC">
      <w:start w:val="1"/>
      <w:numFmt w:val="bullet"/>
      <w:lvlText w:val="•"/>
      <w:lvlJc w:val="left"/>
      <w:pPr>
        <w:ind w:left="5760" w:hanging="360"/>
      </w:pPr>
    </w:lvl>
    <w:lvl w:ilvl="8" w:tplc="95A44D02">
      <w:start w:val="1"/>
      <w:numFmt w:val="bullet"/>
      <w:lvlText w:val="•"/>
      <w:lvlJc w:val="left"/>
      <w:pPr>
        <w:ind w:left="6480" w:hanging="360"/>
      </w:pPr>
    </w:lvl>
  </w:abstractNum>
  <w:num w:numId="1" w16cid:durableId="91077408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D04"/>
    <w:rsid w:val="00BF5D04"/>
    <w:rsid w:val="00C857DA"/>
    <w:rsid w:val="00F22BC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B0F16"/>
  <w15:docId w15:val="{0DFE155D-9F38-4DAF-936A-B51085624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2485</Words>
  <Characters>14166</Characters>
  <Application>Microsoft Office Word</Application>
  <DocSecurity>0</DocSecurity>
  <Lines>118</Lines>
  <Paragraphs>33</Paragraphs>
  <ScaleCrop>false</ScaleCrop>
  <Company>HZZ</Company>
  <LinksUpToDate>false</LinksUpToDate>
  <CharactersWithSpaces>16618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Falak Zec</dc:creator>
  <cp:lastModifiedBy>Sandra Falak Zec</cp:lastModifiedBy>
  <cp:revision>2</cp:revision>
  <dcterms:created xsi:type="dcterms:W3CDTF">2026-02-20T13:08:00Z</dcterms:created>
  <dcterms:modified xsi:type="dcterms:W3CDTF">2026-02-20T13:08:00Z</dcterms:modified>
</cp:coreProperties>
</file>