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bookmarkStart w:id="0" w:name="_GoBack"/>
      <w:bookmarkEnd w:id="0"/>
    </w:p>
    <w:sectPr w:rsidR="007A7E45" w:rsidRPr="00FE4B89" w:rsidSect="00F91724">
      <w:headerReference w:type="default" r:id="rId7"/>
      <w:footerReference w:type="default" r:id="rId8"/>
      <w:type w:val="continuous"/>
      <w:pgSz w:w="11906" w:h="16838"/>
      <w:pgMar w:top="851" w:right="851" w:bottom="851" w:left="851" w:header="709" w:footer="709" w:gutter="0"/>
      <w:cols w:space="708"/>
      <w:docGrid w:linePitch="360"/>
    </w:sectPr>
    <w:p>
      <w:pPr>
        <w:jc w:val="left"/>
        <w:pStyle w:val="Heading1"/>
      </w:pPr>
      <w:r>
        <w:rPr>
          <w:rFonts w:hAnsi="Times New Roman" w:cs="Times New Roman"/>
        </w:rPr>
        <w:t xml:space="preserve">OBRAZLOŽENJE OPĆEG DIJELA FINANCIJSKOG PLANA</w:t>
      </w:r>
    </w:p>
    <w:p>
      <w:pPr>
        <w:jc w:val="left"/>
        <w:pStyle w:val="Heading2"/>
      </w:pPr>
      <w:r>
        <w:rPr>
          <w:rFonts w:hAnsi="Times New Roman" w:cs="Times New Roman"/>
        </w:rPr>
        <w:t xml:space="preserve">08625 Hrvatski zavod za zapošljavanje</w:t>
      </w:r>
    </w:p>
    <w:p>
      <w:pPr>
        <w:jc w:val="both"/>
        <w:pStyle w:val="Normal"/>
      </w:pPr>
      <w:r>
        <w:rPr>
          <w:rFonts w:hAnsi="Times New Roman" w:cs="Times New Roman"/>
        </w:rPr>
        <w:t xml:space="preserve">Hrvatski zavod za zapošljavanje javna je ustanova u vlasništvu Republike Hrvatske ustrojena Zakonom o tržištu rada („Narodne novine“ br. 156/23).  
</w:t>
      </w:r>
    </w:p>
    <w:p>
      <w:pPr>
        <w:jc w:val="both"/>
        <w:pStyle w:val="Normal"/>
      </w:pPr>
      <w:r>
        <w:rPr>
          <w:rFonts w:hAnsi="Times New Roman" w:cs="Times New Roman"/>
        </w:rPr>
        <w:t xml:space="preserve"> 
</w:t>
      </w:r>
    </w:p>
    <w:p>
      <w:pPr>
        <w:jc w:val="both"/>
        <w:pStyle w:val="Normal"/>
      </w:pPr>
      <w:r>
        <w:rPr>
          <w:rFonts w:hAnsi="Times New Roman" w:cs="Times New Roman"/>
        </w:rPr>
        <w:t xml:space="preserve">Sve transakcije za Zavod se izvršavaju s računa državnog proračuna, a cjelokupno financijsko poslovanje odvija se sukladno odredbama Zakona o proračunu. Izvori financiranja su: 
</w:t>
      </w:r>
    </w:p>
    <w:p>
      <w:pPr>
        <w:jc w:val="both"/>
        <w:pStyle w:val="Normal"/>
      </w:pPr>
      <w:r>
        <w:rPr>
          <w:rFonts w:hAnsi="Times New Roman" w:cs="Times New Roman"/>
        </w:rPr>
        <w:t xml:space="preserve">•	Izvor 11 – opći prihodi i primitci 
</w:t>
      </w:r>
    </w:p>
    <w:p>
      <w:pPr>
        <w:jc w:val="both"/>
        <w:pStyle w:val="Normal"/>
      </w:pPr>
      <w:r>
        <w:rPr>
          <w:rFonts w:hAnsi="Times New Roman" w:cs="Times New Roman"/>
        </w:rPr>
        <w:t xml:space="preserve">•	Izvor 12 – nacionalno učešće u sufinanciranju projekata iz EU fondova 
</w:t>
      </w:r>
    </w:p>
    <w:p>
      <w:pPr>
        <w:jc w:val="both"/>
        <w:pStyle w:val="Normal"/>
      </w:pPr>
      <w:r>
        <w:rPr>
          <w:rFonts w:hAnsi="Times New Roman" w:cs="Times New Roman"/>
        </w:rPr>
        <w:t xml:space="preserve">•	Izvor 31 – vlastiti izvori 
</w:t>
      </w:r>
    </w:p>
    <w:p>
      <w:pPr>
        <w:jc w:val="both"/>
        <w:pStyle w:val="Normal"/>
      </w:pPr>
      <w:r>
        <w:rPr>
          <w:rFonts w:hAnsi="Times New Roman" w:cs="Times New Roman"/>
        </w:rPr>
        <w:t xml:space="preserve">•	Izvor 43 – sredstva posebne namjene  
</w:t>
      </w:r>
    </w:p>
    <w:p>
      <w:pPr>
        <w:jc w:val="both"/>
        <w:pStyle w:val="Normal"/>
      </w:pPr>
      <w:r>
        <w:rPr>
          <w:rFonts w:hAnsi="Times New Roman" w:cs="Times New Roman"/>
        </w:rPr>
        <w:t xml:space="preserve">•	Izvor 51 – pomoći EU 
</w:t>
      </w:r>
    </w:p>
    <w:p>
      <w:pPr>
        <w:jc w:val="both"/>
        <w:pStyle w:val="Normal"/>
      </w:pPr>
      <w:r>
        <w:rPr>
          <w:rFonts w:hAnsi="Times New Roman" w:cs="Times New Roman"/>
        </w:rPr>
        <w:t xml:space="preserve">•	Izvor 52 – ostale pomoći  
</w:t>
      </w:r>
    </w:p>
    <w:p>
      <w:pPr>
        <w:jc w:val="both"/>
        <w:pStyle w:val="Normal"/>
      </w:pPr>
      <w:r>
        <w:rPr>
          <w:rFonts w:hAnsi="Times New Roman" w:cs="Times New Roman"/>
        </w:rPr>
        <w:t xml:space="preserve">•	Izvor 561 – Europski socijalni fond 
</w:t>
      </w:r>
    </w:p>
    <w:p>
      <w:pPr>
        <w:jc w:val="both"/>
        <w:pStyle w:val="Normal"/>
      </w:pPr>
      <w:r>
        <w:rPr>
          <w:rFonts w:hAnsi="Times New Roman" w:cs="Times New Roman"/>
        </w:rPr>
        <w:t xml:space="preserve">•	Izvor 581 – Nacionalni plan oporavka i otpornosti 
</w:t>
      </w:r>
    </w:p>
    <w:p>
      <w:pPr>
        <w:jc w:val="both"/>
        <w:pStyle w:val="Normal"/>
      </w:pPr>
      <w:r>
        <w:rPr>
          <w:rFonts w:hAnsi="Times New Roman" w:cs="Times New Roman"/>
        </w:rPr>
        <w:t xml:space="preserve">•	Izvor 61 - donacije  
</w:t>
      </w:r>
    </w:p>
    <w:p>
      <w:pPr>
        <w:jc w:val="both"/>
        <w:pStyle w:val="Normal"/>
      </w:pPr>
      <w:r>
        <w:rPr>
          <w:rFonts w:hAnsi="Times New Roman" w:cs="Times New Roman"/>
        </w:rPr>
        <w:t xml:space="preserve">•	Izvor 71 - prihodi od prodaje ili zamjene nefinancijske imovine i naknade s naslova osiguranja 
</w:t>
      </w:r>
    </w:p>
    <w:p>
      <w:pPr>
        <w:jc w:val="both"/>
        <w:pStyle w:val="Normal"/>
      </w:pPr>
      <w:r>
        <w:rPr>
          <w:rFonts w:hAnsi="Times New Roman" w:cs="Times New Roman"/>
        </w:rPr>
        <w:t xml:space="preserve"> 
</w:t>
      </w:r>
    </w:p>
    <w:p>
      <w:pPr>
        <w:jc w:val="both"/>
        <w:pStyle w:val="Normal"/>
      </w:pPr>
      <w:r>
        <w:rPr>
          <w:rFonts w:hAnsi="Times New Roman" w:cs="Times New Roman"/>
        </w:rPr>
        <w:t xml:space="preserve">Metodologija izrade Državnog proračuna propisana je odredbama Zakona  o proračunu i podzakonskim aktima kojima se regulira provedba navedenog Zakona, te je financijski plan Hrvatskoga zavoda za zapošljavanje, kao izvanproračunskog korisnika državnog proračuna, izrađen sukladno propisanoj metodologiji, odnosno sukladno: 
</w:t>
      </w:r>
    </w:p>
    <w:p>
      <w:pPr>
        <w:jc w:val="both"/>
        <w:pStyle w:val="Normal"/>
      </w:pPr>
      <w:r>
        <w:rPr>
          <w:rFonts w:hAnsi="Times New Roman" w:cs="Times New Roman"/>
        </w:rPr>
        <w:t xml:space="preserve">•	Uputama Ministarstva financija za izradu prijedloga Državnog proračuna Republike Hrvatske za razdoblje 2026. – 2028. iz listopada 2025. godine.  
</w:t>
      </w:r>
    </w:p>
    <w:p>
      <w:pPr>
        <w:jc w:val="both"/>
        <w:pStyle w:val="Normal"/>
      </w:pPr>
      <w:r>
        <w:rPr>
          <w:rFonts w:hAnsi="Times New Roman" w:cs="Times New Roman"/>
        </w:rPr>
        <w:t xml:space="preserve">•	Pravilnikom o planiranju u sustavu proračuna 
</w:t>
      </w:r>
    </w:p>
    <w:p>
      <w:pPr>
        <w:jc w:val="both"/>
        <w:pStyle w:val="Normal"/>
      </w:pPr>
      <w:r>
        <w:rPr>
          <w:rFonts w:hAnsi="Times New Roman" w:cs="Times New Roman"/>
        </w:rPr>
        <w:t xml:space="preserve">•	Pravilnikom o proračunskom računovodstvu i Računskom planu 
</w:t>
      </w:r>
    </w:p>
    <w:p>
      <w:pPr>
        <w:jc w:val="both"/>
        <w:pStyle w:val="Normal"/>
      </w:pPr>
      <w:r>
        <w:rPr>
          <w:rFonts w:hAnsi="Times New Roman" w:cs="Times New Roman"/>
        </w:rPr>
        <w:t xml:space="preserve">•	Pravilnikom o proračunskim klasifikacijama, te 
</w:t>
      </w:r>
    </w:p>
    <w:p>
      <w:pPr>
        <w:jc w:val="both"/>
        <w:pStyle w:val="Normal"/>
      </w:pPr>
      <w:r>
        <w:rPr>
          <w:rFonts w:hAnsi="Times New Roman" w:cs="Times New Roman"/>
        </w:rPr>
        <w:t xml:space="preserve">•	Pravilnikom o korištenju sredstava Europske unije. 
</w:t>
      </w:r>
    </w:p>
    <w:p>
      <w:pPr>
        <w:jc w:val="both"/>
        <w:pStyle w:val="Normal"/>
      </w:pPr>
      <w:r>
        <w:rPr>
          <w:rFonts w:hAnsi="Times New Roman" w:cs="Times New Roman"/>
        </w:rPr>
        <w:t xml:space="preserve">Upute za izradu prijedloga Državnog proračuna za 2026. godinu i projekcija za 2027. i 2028. godinu, sadržavale su limite ukupnih rashoda po razdjelima državnog proračuna, odnosno po ministarstvima. Financijski plan Zavoda izrađen je temeljem dodijeljenih limita od nadležnog ministarstva, kako je i uređeno Zakonom o proračunu. 
</w:t>
      </w:r>
    </w:p>
    <w:p>
      <w:pPr>
        <w:jc w:val="both"/>
        <w:pStyle w:val="Normal"/>
      </w:pPr>
      <w:r>
        <w:rPr>
          <w:rFonts w:hAnsi="Times New Roman" w:cs="Times New Roman"/>
        </w:rPr>
        <w:t xml:space="preserve"> 
</w:t>
      </w:r>
    </w:p>
    <w:p>
      <w:pPr>
        <w:jc w:val="both"/>
        <w:pStyle w:val="Normal"/>
      </w:pPr>
      <w:r>
        <w:rPr>
          <w:rFonts w:hAnsi="Times New Roman" w:cs="Times New Roman"/>
        </w:rPr>
        <w:t xml:space="preserve">PRIHODI  
</w:t>
      </w:r>
    </w:p>
    <w:p>
      <w:pPr>
        <w:jc w:val="both"/>
        <w:pStyle w:val="Normal"/>
      </w:pPr>
      <w:r>
        <w:rPr>
          <w:rFonts w:hAnsi="Times New Roman" w:cs="Times New Roman"/>
        </w:rPr>
        <w:t xml:space="preserve">  
</w:t>
      </w:r>
    </w:p>
    <w:p>
      <w:pPr>
        <w:jc w:val="both"/>
        <w:pStyle w:val="Normal"/>
      </w:pPr>
      <w:r>
        <w:rPr>
          <w:rFonts w:hAnsi="Times New Roman" w:cs="Times New Roman"/>
        </w:rPr>
        <w:t xml:space="preserve">Ukupno planirani prihodi za 2026. iznose   333.478.956  eura,  što je 11,44 % manje u odnosu na 2025. godinu. U 2027. godini ukupno planirani prihodi iznose   333.360.000 eura, a u 2028. godini   305.200.500 eura.    
</w:t>
      </w:r>
    </w:p>
    <w:p>
      <w:pPr>
        <w:jc w:val="both"/>
        <w:pStyle w:val="Normal"/>
      </w:pPr>
      <w:r>
        <w:rPr>
          <w:rFonts w:hAnsi="Times New Roman" w:cs="Times New Roman"/>
        </w:rPr>
        <w:t xml:space="preserve">  
</w:t>
      </w:r>
    </w:p>
    <w:p>
      <w:pPr>
        <w:jc w:val="both"/>
        <w:pStyle w:val="Normal"/>
      </w:pPr>
      <w:r>
        <w:rPr>
          <w:rFonts w:hAnsi="Times New Roman" w:cs="Times New Roman"/>
        </w:rPr>
        <w:t xml:space="preserve">Prihodi iz državnog proračuna planirani su za redovito poslovanje Zavoda, novčane naknade za nezaposlene,  troškove profesionalnog usmjeravanja, mjere aktivne politike zapošljavanja financirane iz državnog proračuna te novčane pomoći korisnicima mjera aktivne politike zapošljavanja. Skupina 671 također uključuje i sredstva za nacionalno sufinanciranje projekata EU. Ukupno planirana sredstva iz ovih izvora iznose  231.445.236   eura u 2026. godini; 233.005.269 eura u 2027. godini, te  232.835.223 eura u 2028. godini.  
</w:t>
      </w:r>
    </w:p>
    <w:p>
      <w:pPr>
        <w:jc w:val="both"/>
        <w:pStyle w:val="Normal"/>
      </w:pPr>
      <w:r>
        <w:rPr>
          <w:rFonts w:hAnsi="Times New Roman" w:cs="Times New Roman"/>
        </w:rPr>
        <w:t xml:space="preserve">Pomoći od međunarodnih organizacija te institucija i tijela EU koji se od 2025. godine također evidentiraju na skupini 67 planirane su za financiranje projekata EU unutar OP Europski socijalni fond plus (ESF+) 2021-2027 u iznosu od  95.662.000 eura u 2026. godini; 100.347.000 eura u 2027. godini; te  72.355.000 eura u 2028. godini. Unutar Nacionalnog plana oporavka i otpornosti za financiranje mjera aktivne politike zapošljavanja, obrazovanja kroz sustav aučera te za financiranje razvojnih projekata čiji je nositelj Hrvatski zavod za zapošljavanje u 2026. godini planirano je  6.358.000 eura. U 2027. godini nisu planirani prihodi.   
</w:t>
      </w:r>
    </w:p>
    <w:p>
      <w:pPr>
        <w:jc w:val="both"/>
        <w:pStyle w:val="Normal"/>
      </w:pPr>
      <w:r>
        <w:rPr>
          <w:rFonts w:hAnsi="Times New Roman" w:cs="Times New Roman"/>
        </w:rPr>
        <w:t xml:space="preserve">Vlastiti prihodi se odnose na prihode od najma poslovnih prostora u vlasništvu Hrvatskog zavoda za zapošljavanje te prodaje testova koji se primjenjuju u postupcima psihologijskog testiranja u svrhu profesionalnog usmjeravanja.  
</w:t>
      </w:r>
    </w:p>
    <w:p>
      <w:pPr>
        <w:jc w:val="both"/>
        <w:pStyle w:val="Normal"/>
      </w:pPr>
      <w:r>
        <w:rPr>
          <w:rFonts w:hAnsi="Times New Roman" w:cs="Times New Roman"/>
        </w:rPr>
        <w:t xml:space="preserve">Oni su u 2026. godini planirani u iznosu od 13.720 eura, u 2027. godini u iznosu od 7.731 euro, te u 2028. godini u iznosu od 10.277 eura.  
</w:t>
      </w:r>
    </w:p>
    <w:p>
      <w:pPr>
        <w:jc w:val="both"/>
        <w:pStyle w:val="Normal"/>
      </w:pPr>
      <w:r>
        <w:rPr>
          <w:rFonts w:hAnsi="Times New Roman" w:cs="Times New Roman"/>
        </w:rPr>
        <w:t xml:space="preserve">  
</w:t>
      </w:r>
    </w:p>
    <w:p>
      <w:pPr>
        <w:jc w:val="both"/>
        <w:pStyle w:val="Normal"/>
      </w:pPr>
      <w:r>
        <w:rPr>
          <w:rFonts w:hAnsi="Times New Roman" w:cs="Times New Roman"/>
        </w:rPr>
        <w:t xml:space="preserve">RASHODI  
</w:t>
      </w:r>
    </w:p>
    <w:p>
      <w:pPr>
        <w:jc w:val="both"/>
        <w:pStyle w:val="Normal"/>
      </w:pPr>
      <w:r>
        <w:rPr>
          <w:rFonts w:hAnsi="Times New Roman" w:cs="Times New Roman"/>
        </w:rPr>
        <w:t xml:space="preserve">Ukupno planirani rashodi za 2026. iznose    333.847.711  eura, što je 11,3 % manje u odnosu na 2025. godinu.  U 2027. godini planirano je  333.860.000 eura, a u 2028. godini planirano je  305.700.500 eura.  
</w:t>
      </w:r>
    </w:p>
    <w:p>
      <w:pPr>
        <w:jc w:val="both"/>
        <w:pStyle w:val="Normal"/>
      </w:pPr>
      <w:r>
        <w:rPr>
          <w:rFonts w:hAnsi="Times New Roman" w:cs="Times New Roman"/>
        </w:rPr>
        <w:t xml:space="preserve">Rashodi za zaposlene u 2026. godini planirani su u ukupnom iznosu od   49.450.116  eura, od čega je  42.951.116    eura planirano iz sredstava državnog proračuna (izvori 11 i 12), a 6.499.000 eura, planirano iz sredstava EU kroz OP ESF+. Rashodi za zaposlene veći su za 3,3% od tekućeg plana zbog primjene kolektivnih ugovora za zaposlenike u državnoj i javnim službama čime je zaokružen proces velike reforme plaća. U 2027. godini planirano je  50.446.190    eura, a u 2028. godini  50.765.800 eura.  
</w:t>
      </w:r>
    </w:p>
    <w:p>
      <w:pPr>
        <w:jc w:val="both"/>
        <w:pStyle w:val="Normal"/>
      </w:pPr>
      <w:r>
        <w:rPr>
          <w:rFonts w:hAnsi="Times New Roman" w:cs="Times New Roman"/>
        </w:rPr>
        <w:t xml:space="preserve">  
</w:t>
      </w:r>
    </w:p>
    <w:p>
      <w:pPr>
        <w:jc w:val="both"/>
        <w:pStyle w:val="Normal"/>
      </w:pPr>
      <w:r>
        <w:rPr>
          <w:rFonts w:hAnsi="Times New Roman" w:cs="Times New Roman"/>
        </w:rPr>
        <w:t xml:space="preserve">Materijalni rashodi u 2026. godini planirani su ukupnom iznosu    11.503.413 eura, od čega je  11.219.320 eura, planirano iz sredstava državnog proračuna (izvori 11 i 12) dok je 284.093 eura, planirano iz sredstava EU te vlastitih prihoda. U 2027. godini planirano je  12.644.960 eura, a u 2028. godini  12.990.040  eura.  
</w:t>
      </w:r>
    </w:p>
    <w:p>
      <w:pPr>
        <w:jc w:val="both"/>
        <w:pStyle w:val="Normal"/>
      </w:pPr>
      <w:r>
        <w:rPr>
          <w:rFonts w:hAnsi="Times New Roman" w:cs="Times New Roman"/>
        </w:rPr>
        <w:t xml:space="preserve">  
</w:t>
      </w:r>
    </w:p>
    <w:p>
      <w:pPr>
        <w:jc w:val="both"/>
        <w:pStyle w:val="Normal"/>
      </w:pPr>
      <w:r>
        <w:rPr>
          <w:rFonts w:hAnsi="Times New Roman" w:cs="Times New Roman"/>
        </w:rPr>
        <w:t xml:space="preserve">Povećanje materijalnih rashoda u odnos na tekući plan iznosi 5,6% zbog povećanja troškova održavanja zgrada, opreme i softwarea zakupa sistemskih licenci (Microsoft, antivirus i sl.), obveznih sistematski pregleda zaposlenika sukladno Temeljnom kolektivnom ugovoru ulaganja u stručno osposobljavanje zaposlenika, te snažnog povećanja cijena vanjskih usluga poput čišćenja i zaštitarstva. 
</w:t>
      </w:r>
    </w:p>
    <w:p>
      <w:pPr>
        <w:jc w:val="both"/>
        <w:pStyle w:val="Normal"/>
      </w:pPr>
      <w:r>
        <w:rPr>
          <w:rFonts w:hAnsi="Times New Roman" w:cs="Times New Roman"/>
        </w:rPr>
        <w:t xml:space="preserve">Financijski rashodi planirani su u ukupnom iznosu od 200.200 eura i služe za pokriće troškova bankarskih usluga vođenja kreditnih plasmana, te ostalih naknada financijskih institucija. Planirani su u iznosu koji je za 5,1% veći od tekućeg plana zbog povećanja bankarskih naknada tijekom 2025. godine. U 2027. godini planirano je 201.000 eura, a u 2028. godini 149.500 eura.  
</w:t>
      </w:r>
    </w:p>
    <w:p>
      <w:pPr>
        <w:jc w:val="both"/>
        <w:pStyle w:val="Normal"/>
      </w:pPr>
      <w:r>
        <w:rPr>
          <w:rFonts w:hAnsi="Times New Roman" w:cs="Times New Roman"/>
        </w:rPr>
        <w:t xml:space="preserve">Rashodi za subvencije planirani su u iznosu   92.863.000  eura, što je 28,6% manje od tekućeg plana. Od toga je 18.482.000 eura iz državnog proračuna, 74.301.000 eura uz Europskog socijalnog fonda, te 80.000 eura iz Mehanizma za oporavak i otpornost. U 2027. godini planirano je 84.221.900 eura, a u 2028. godini 59.912.000 eura.  
</w:t>
      </w:r>
    </w:p>
    <w:p>
      <w:pPr>
        <w:jc w:val="both"/>
        <w:pStyle w:val="Normal"/>
      </w:pPr>
      <w:r>
        <w:rPr>
          <w:rFonts w:hAnsi="Times New Roman" w:cs="Times New Roman"/>
        </w:rPr>
        <w:t xml:space="preserve">Pomoći dane u inozemstvo i unutar općeg proračuna planirane su u 2026. godini u iznosu od   5.608.000 eura, što je 42,0% manje od tekućeg plana. Smanjenje je odraz ukidanja mjere pripravništvo u javnom sektoru koja je ukinuta već za tekuću godinu, ali je dio obveza iz 2024. plaćen početkom godine. Od toga je 5.603.000 eura iz državnog proračuna, 5.000 iz Europskog socijalnog fonda plus. U 2027. godini planirano je 7.580.000 eura, a u 2028. godini 6.351.000 eura.  
</w:t>
      </w:r>
    </w:p>
    <w:p>
      <w:pPr>
        <w:jc w:val="both"/>
        <w:pStyle w:val="Normal"/>
      </w:pPr>
      <w:r>
        <w:rPr>
          <w:rFonts w:hAnsi="Times New Roman" w:cs="Times New Roman"/>
        </w:rPr>
        <w:t xml:space="preserve">Naknade građanima i kućanstvima na temelju osiguranja i druge naknade planirane su u iznosu od 170.038.620     eura, što je 1,7% manje od tekućeg plana. Smanjenje se prvenstveno odnosi na učinak ukidanja mjere Stalni sezonac. U 2027. godini planirano je 170.712.300 eura a u 2028. godini 169.425.760 eura.  
</w:t>
      </w:r>
    </w:p>
    <w:p>
      <w:pPr>
        <w:jc w:val="both"/>
        <w:pStyle w:val="Normal"/>
      </w:pPr>
      <w:r>
        <w:rPr>
          <w:rFonts w:hAnsi="Times New Roman" w:cs="Times New Roman"/>
        </w:rPr>
        <w:t xml:space="preserve">Ostali rashodi planirani su u iznosu od 2.235.000  eura, odnosno 11,0% manje od tekućeg plana. Od toga je 1.725.000 eura planirano iz sredstva državnog proračuna, a 510.000 eura iz Europskog socijalnog fonda,. U 2027. godini planirano je 3.059.000 eura, a u 2028. godini 3.718.700 eura.  
</w:t>
      </w:r>
    </w:p>
    <w:p>
      <w:pPr>
        <w:jc w:val="both"/>
        <w:pStyle w:val="Normal"/>
      </w:pPr>
      <w:r>
        <w:rPr>
          <w:rFonts w:hAnsi="Times New Roman" w:cs="Times New Roman"/>
        </w:rPr>
        <w:t xml:space="preserve">Rashodi za nabavu neproizvedene dugotrajne imovine planirani su u ukupnom iznosu od 1.500 eura, što je 99,5% manje od tekućeg plana. Cjelokupan iznos planiran je iz sredstava državnog proračuna. U 2027. godini planirano je 4.900 eura, a u 2028. godini 10.000 eura.  
</w:t>
      </w:r>
    </w:p>
    <w:p>
      <w:pPr>
        <w:jc w:val="both"/>
        <w:pStyle w:val="Normal"/>
      </w:pPr>
      <w:r>
        <w:rPr>
          <w:rFonts w:hAnsi="Times New Roman" w:cs="Times New Roman"/>
        </w:rPr>
        <w:t xml:space="preserve">Rashodi za nabavu proizvedene dugotrajne imovine planirani su u ukupnom iznosu od  1.588.562 eura, što je 8,2% više od tekućeg plana. Iz sredstava državnog proračuna planirano je 831.800 eura i služe za nabavu uredske opreme, namještaja i računala i računalnih aplikacija, 100.000 eura je planirano iz Europskog socijalnog fonda za nabavu uredske opreme, namještaja, osobnog vozila i računalnih aplikacija; te 500.000 eura iz Mehanizma za oporavak otpornost za plaćanje sustava za upravljanje dokumentacijom i ERP sustava. 150.000 eura planirano je iz namjenskih prihoda od prodaje vlastite imovine. U 2027 godni planirano je 4.361.450 eura, a u 2028. godini 1.729.300 eura.  
</w:t>
      </w:r>
    </w:p>
    <w:p>
      <w:pPr>
        <w:jc w:val="both"/>
        <w:pStyle w:val="Normal"/>
      </w:pPr>
      <w:r>
        <w:rPr>
          <w:rFonts w:hAnsi="Times New Roman" w:cs="Times New Roman"/>
        </w:rPr>
        <w:t xml:space="preserve">Rashodi za dodatna ulaganja na nefinancijskoj imovini planirani su u iznosu od 359.300 eura, što je 34,9% manje od tekućeg plana. Od toga 169.300 eura se planira utrošiti iz sredstva državnog proračuna za rekonstrukcije i dogradnje poslovnih objekata, a 190.000 eura je planirano iskoristiti namjenska sredstva za rekonstrukciju poslovnog objekta u Osijeku.        
</w:t>
      </w:r>
    </w:p>
    <w:p>
      <w:pPr>
        <w:jc w:val="both"/>
        <w:pStyle w:val="Normal"/>
      </w:pPr>
      <w:r>
        <w:rPr>
          <w:rFonts w:hAnsi="Times New Roman" w:cs="Times New Roman"/>
        </w:rPr>
        <w:t xml:space="preserve">  
</w:t>
      </w:r>
    </w:p>
    <w:p>
      <w:pPr>
        <w:jc w:val="both"/>
        <w:pStyle w:val="Normal"/>
      </w:pPr>
      <w:r>
        <w:rPr>
          <w:rFonts w:hAnsi="Times New Roman" w:cs="Times New Roman"/>
        </w:rPr>
        <w:t xml:space="preserve">Za mjere aktivne politike zapošljavanja planirano je 125.320.000 eura, što je 28,6% manje od tekućeg plana (rashodi pobrojani u gornjem tekstu) po aktivnostima kako slijedi:  
</w:t>
      </w:r>
    </w:p>
    <w:p>
      <w:pPr>
        <w:jc w:val="both"/>
        <w:pStyle w:val="Normal"/>
      </w:pPr>
      <w:r>
        <w:rPr>
          <w:rFonts w:hAnsi="Times New Roman" w:cs="Times New Roman"/>
        </w:rPr>
        <w:t xml:space="preserve">•	AKTIVNA POLITIKA ZAPOŠLJAVANJA -  10.121.000     eura (-37,5%)  
</w:t>
      </w:r>
    </w:p>
    <w:p>
      <w:pPr>
        <w:jc w:val="both"/>
        <w:pStyle w:val="Normal"/>
      </w:pPr>
      <w:r>
        <w:rPr>
          <w:rFonts w:hAnsi="Times New Roman" w:cs="Times New Roman"/>
        </w:rPr>
        <w:t xml:space="preserve">•	AKCIJSKI PLAN ZA UKLJUČIVANJE ROMA - 1.896.000 eura (-2,8%)  
</w:t>
      </w:r>
    </w:p>
    <w:p>
      <w:pPr>
        <w:jc w:val="both"/>
        <w:pStyle w:val="Normal"/>
      </w:pPr>
      <w:r>
        <w:rPr>
          <w:rFonts w:hAnsi="Times New Roman" w:cs="Times New Roman"/>
        </w:rPr>
        <w:t xml:space="preserve">•	NAKNADE KORISNICIMA AKTIVNE POLITIKE ZAPOŠLJAVANJA – 2.300.000 eura (-71,8%)   
</w:t>
      </w:r>
    </w:p>
    <w:p>
      <w:pPr>
        <w:jc w:val="both"/>
        <w:pStyle w:val="Normal"/>
      </w:pPr>
      <w:r>
        <w:rPr>
          <w:rFonts w:hAnsi="Times New Roman" w:cs="Times New Roman"/>
        </w:rPr>
        <w:t xml:space="preserve">•	OP UČINKOVITI LJUDSKI POTENCIJALI 2021. – 2027., ESF+ -  104.685.000 eura (+8,1%)  
</w:t>
      </w:r>
    </w:p>
    <w:p>
      <w:pPr>
        <w:jc w:val="both"/>
        <w:pStyle w:val="Normal"/>
      </w:pPr>
      <w:r>
        <w:rPr>
          <w:rFonts w:hAnsi="Times New Roman" w:cs="Times New Roman"/>
        </w:rPr>
        <w:t xml:space="preserve">•	OPERATIVNI PLAN ZA UKLJUČIVANJE OSOBA S ODOBRENOM MEĐUNARODNOM ZAŠTITOM – 28.000 eura (N/A)  
</w:t>
      </w:r>
    </w:p>
    <w:p>
      <w:pPr>
        <w:jc w:val="both"/>
        <w:pStyle w:val="Normal"/>
      </w:pPr>
      <w:r>
        <w:rPr>
          <w:rFonts w:hAnsi="Times New Roman" w:cs="Times New Roman"/>
        </w:rPr>
        <w:t xml:space="preserve">•	UNAPRJEĐENJE MJERA ZAPOŠLJAVANJA I PRAVNOG OKVIRA ZA MODERNO TRŽIŠTE RADA I GOSPODARSTVO BUDUĆNOSTI – NPOO – 6.290.000 eura (-76,0%)  
</w:t>
      </w:r>
    </w:p>
    <w:p>
      <w:pPr>
        <w:jc w:val="both"/>
        <w:pStyle w:val="Normal"/>
      </w:pPr>
      <w:r>
        <w:rPr>
          <w:rFonts w:hAnsi="Times New Roman" w:cs="Times New Roman"/>
        </w:rPr>
        <w:t xml:space="preserve">  
</w:t>
      </w:r>
    </w:p>
    <w:p>
      <w:pPr>
        <w:jc w:val="both"/>
        <w:pStyle w:val="Normal"/>
      </w:pPr>
      <w:r>
        <w:rPr>
          <w:rFonts w:hAnsi="Times New Roman" w:cs="Times New Roman"/>
        </w:rPr>
        <w:t xml:space="preserve">RAZLIKA PRIHODA I RASHODA  
</w:t>
      </w:r>
    </w:p>
    <w:p>
      <w:pPr>
        <w:jc w:val="both"/>
        <w:pStyle w:val="Normal"/>
      </w:pPr>
      <w:r>
        <w:rPr>
          <w:rFonts w:hAnsi="Times New Roman" w:cs="Times New Roman"/>
        </w:rPr>
        <w:t xml:space="preserve">Razlika prihoda i rashoda planira se kao manjak u iznosu od 368.755 eura koji se pokriva prijenosom prihoda iz tekuće godine.  
</w:t>
      </w:r>
    </w:p>
    <w:p>
      <w:pPr>
        <w:jc w:val="both"/>
        <w:pStyle w:val="Normal"/>
      </w:pPr>
      <w:r>
        <w:rPr>
          <w:rFonts w:hAnsi="Times New Roman" w:cs="Times New Roman"/>
        </w:rPr>
        <w:t xml:space="preserve">  
</w:t>
      </w:r>
    </w:p>
    <w:p>
      <w:pPr>
        <w:jc w:val="both"/>
        <w:pStyle w:val="Normal"/>
      </w:pPr>
      <w:r>
        <w:rPr>
          <w:rFonts w:hAnsi="Times New Roman" w:cs="Times New Roman"/>
        </w:rPr>
        <w:t xml:space="preserve">PRIJENOS SREDSTAVA IZ PRETHODNE I U SLJEDEĆU GODINU  
</w:t>
      </w:r>
    </w:p>
    <w:p>
      <w:pPr>
        <w:jc w:val="both"/>
        <w:pStyle w:val="Normal"/>
      </w:pPr>
      <w:r>
        <w:rPr>
          <w:rFonts w:hAnsi="Times New Roman" w:cs="Times New Roman"/>
        </w:rPr>
        <w:t xml:space="preserve">Razlika prihoda i rashoda iskazuje se kao manjak u iznosu od 351.044 eura .koji se pokriva prijenosom viška iz tekuće godine. 
</w:t>
      </w:r>
    </w:p>
    <w:p>
      <w:pPr>
        <w:jc w:val="both"/>
        <w:pStyle w:val="Normal"/>
      </w:pPr>
      <w:r>
        <w:rPr>
          <w:rFonts w:hAnsi="Times New Roman" w:cs="Times New Roman"/>
        </w:rPr>
        <w:t xml:space="preserve">U 2026. godinu prenosi se ukupno 2.209.633 eura neutrošenih prihoda iz 2025. i to:   
</w:t>
      </w:r>
    </w:p>
    <w:p>
      <w:pPr>
        <w:jc w:val="both"/>
        <w:pStyle w:val="Normal"/>
      </w:pPr>
      <w:r>
        <w:rPr>
          <w:rFonts w:hAnsi="Times New Roman" w:cs="Times New Roman"/>
        </w:rPr>
        <w:t xml:space="preserve">•	664 eura (izvor 61) – planiran prijenos u iduća razdoblja.  
</w:t>
      </w:r>
    </w:p>
    <w:p>
      <w:pPr>
        <w:jc w:val="both"/>
        <w:pStyle w:val="Normal"/>
      </w:pPr>
      <w:r>
        <w:rPr>
          <w:rFonts w:hAnsi="Times New Roman" w:cs="Times New Roman"/>
        </w:rPr>
        <w:t xml:space="preserve">•	2.000 eura (izvor 31) – nije planiran prijenos u iduća razdoblja.  
</w:t>
      </w:r>
    </w:p>
    <w:p>
      <w:pPr>
        <w:jc w:val="both"/>
        <w:pStyle w:val="Normal"/>
      </w:pPr>
      <w:r>
        <w:rPr>
          <w:rFonts w:hAnsi="Times New Roman" w:cs="Times New Roman"/>
        </w:rPr>
        <w:t xml:space="preserve">•	6.762 eura (izvor 52) – 1.145 euro se prenose u naredna razdoblja  
</w:t>
      </w:r>
    </w:p>
    <w:p>
      <w:pPr>
        <w:jc w:val="both"/>
        <w:pStyle w:val="Normal"/>
      </w:pPr>
      <w:r>
        <w:rPr>
          <w:rFonts w:hAnsi="Times New Roman" w:cs="Times New Roman"/>
        </w:rPr>
        <w:t xml:space="preserve">•	19.993 euro (izvor 51) – 14.376 eura se planira prenijeti u naredna razdoblja.  
</w:t>
      </w:r>
    </w:p>
    <w:p>
      <w:pPr>
        <w:jc w:val="both"/>
        <w:pStyle w:val="Normal"/>
      </w:pPr>
      <w:r>
        <w:rPr>
          <w:rFonts w:hAnsi="Times New Roman" w:cs="Times New Roman"/>
        </w:rPr>
        <w:t xml:space="preserve">•	2.180.214 eura (izvor 71) – prihodi od prodaje nef.imovine – planiran je prijenos 1.840.214 eura u naredno razdoblje. 
</w:t>
      </w:r>
    </w:p>
    <w:p>
      <w:pPr>
        <w:jc w:val="both"/>
        <w:pStyle w:val="Normal"/>
      </w:pPr>
      <w:r>
        <w:rPr>
          <w:rFonts w:hAnsi="Times New Roman" w:cs="Times New Roman"/>
        </w:rPr>
        <w:t xml:space="preserve"> 
</w:t>
      </w:r>
    </w:p>
    <w:p>
      <w:pPr>
        <w:jc w:val="both"/>
        <w:pStyle w:val="Normal"/>
      </w:pPr>
      <w:r>
        <w:rPr>
          <w:rFonts w:hAnsi="Times New Roman" w:cs="Times New Roman"/>
        </w:rPr>
        <w:t xml:space="preserve"> 
</w:t>
      </w:r>
    </w:p>
    <w:p>
      <w:pPr>
        <w:jc w:val="both"/>
        <w:pStyle w:val="Normal"/>
      </w:pPr>
      <w:r>
        <w:rPr>
          <w:rFonts w:hAnsi="Times New Roman" w:cs="Times New Roman"/>
        </w:rPr>
        <w:t xml:space="preserve">   
</w:t>
      </w:r>
    </w:p>
    <w:p>
      <w:pPr>
        <w:jc w:val="both"/>
        <w:pStyle w:val="Normal"/>
      </w:pPr>
      <w:r>
        <w:rPr>
          <w:rFonts w:hAnsi="Times New Roman" w:cs="Times New Roman"/>
        </w:rPr>
        <w:t xml:space="preserve">  
</w:t>
      </w:r>
    </w:p>
    <w:p>
      <w:pPr>
        <w:jc w:val="both"/>
        <w:pStyle w:val="Normal"/>
      </w:pPr>
      <w:r>
        <w:rPr>
          <w:rFonts w:hAnsi="Times New Roman" w:cs="Times New Roman"/>
        </w:rPr>
        <w:t xml:space="preserve">UKUPNE I DOSPJELE OBVEZE  
</w:t>
      </w:r>
    </w:p>
    <w:p>
      <w:pPr>
        <w:jc w:val="both"/>
        <w:pStyle w:val="Normal"/>
      </w:pPr>
      <w:r>
        <w:rPr>
          <w:rFonts w:hAnsi="Times New Roman" w:cs="Times New Roman"/>
        </w:rPr>
        <w:t xml:space="preserve">  
</w:t>
      </w:r>
    </w:p>
    <w:p>
      <w:pPr>
        <w:jc w:val="both"/>
        <w:pStyle w:val="Normal"/>
      </w:pPr>
      <w:r>
        <w:rPr>
          <w:rFonts w:hAnsi="Times New Roman" w:cs="Times New Roman"/>
        </w:rPr>
        <w:t xml:space="preserve">Stanje obveza na dan 31.12.2024.	83.578.640,35 eura   dospjelo  0,00 eura  
</w:t>
      </w:r>
    </w:p>
    <w:p>
      <w:pPr>
        <w:jc w:val="both"/>
        <w:pStyle w:val="Normal"/>
      </w:pPr>
      <w:r>
        <w:rPr>
          <w:rFonts w:hAnsi="Times New Roman" w:cs="Times New Roman"/>
        </w:rPr>
        <w:t xml:space="preserve">Stanje obveza na dan 30.06.2025.	70.401.747,97 eura	dospjelo 0,00 eura</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45" w:rsidRDefault="007A7E45" w:rsidP="00F352E6">
      <w:r>
        <w:separator/>
      </w:r>
    </w:p>
  </w:endnote>
  <w:endnote w:type="continuationSeparator" w:id="0">
    <w:p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FE4B89"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45" w:rsidRDefault="007A7E45" w:rsidP="00F352E6">
      <w:r>
        <w:separator/>
      </w:r>
    </w:p>
  </w:footnote>
  <w:footnote w:type="continuationSeparator" w:id="0">
    <w:p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FE4B89"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Anita Marasović</cp:lastModifiedBy>
  <cp:revision>14</cp:revision>
  <dcterms:created xsi:type="dcterms:W3CDTF">2016-10-28T08:23:00Z</dcterms:created>
  <dcterms:modified xsi:type="dcterms:W3CDTF">2016-11-09T08:08:00Z</dcterms:modified>
</cp:coreProperties>
</file>